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B6A" w:rsidRPr="002C0136" w:rsidRDefault="00ED072A" w:rsidP="002C0136">
      <w:pPr>
        <w:spacing w:after="240" w:line="276" w:lineRule="auto"/>
        <w:jc w:val="center"/>
        <w:rPr>
          <w:rFonts w:cs="Calibri"/>
          <w:sz w:val="24"/>
          <w:szCs w:val="24"/>
        </w:rPr>
      </w:pPr>
      <w:r w:rsidRPr="002C0136">
        <w:rPr>
          <w:rFonts w:cs="Calibri"/>
          <w:b/>
          <w:bCs/>
          <w:sz w:val="24"/>
          <w:szCs w:val="24"/>
        </w:rPr>
        <w:t xml:space="preserve">THE IHCA CALLS FOR INCREASED FUNDING TO DELIVER QUALITY, SAFE CARE TO PATIENTS IN </w:t>
      </w:r>
      <w:r w:rsidR="005B284C" w:rsidRPr="00F06810">
        <w:rPr>
          <w:rFonts w:cs="Calibri"/>
          <w:b/>
          <w:bCs/>
          <w:sz w:val="24"/>
          <w:szCs w:val="24"/>
        </w:rPr>
        <w:t>ACUTE</w:t>
      </w:r>
      <w:r w:rsidRPr="00F06810">
        <w:rPr>
          <w:rFonts w:cs="Calibri"/>
          <w:b/>
          <w:bCs/>
          <w:sz w:val="24"/>
          <w:szCs w:val="24"/>
        </w:rPr>
        <w:t xml:space="preserve"> HOSPITALS</w:t>
      </w:r>
      <w:r w:rsidR="00E761F5" w:rsidRPr="00F06810">
        <w:rPr>
          <w:rFonts w:cs="Calibri"/>
          <w:b/>
          <w:bCs/>
          <w:sz w:val="24"/>
          <w:szCs w:val="24"/>
        </w:rPr>
        <w:t xml:space="preserve"> </w:t>
      </w:r>
      <w:r w:rsidR="00F06810" w:rsidRPr="00F06810">
        <w:rPr>
          <w:rFonts w:cs="Calibri"/>
          <w:b/>
          <w:bCs/>
          <w:sz w:val="24"/>
          <w:szCs w:val="24"/>
        </w:rPr>
        <w:t>AND</w:t>
      </w:r>
      <w:r w:rsidR="00E761F5" w:rsidRPr="00F06810">
        <w:rPr>
          <w:rFonts w:cs="Calibri"/>
          <w:b/>
          <w:bCs/>
          <w:sz w:val="24"/>
          <w:szCs w:val="24"/>
        </w:rPr>
        <w:t xml:space="preserve"> MENTAL HEALTH SERVICES</w:t>
      </w:r>
    </w:p>
    <w:p w:rsidR="00A10B6A" w:rsidRPr="0012649F" w:rsidRDefault="00E00E41" w:rsidP="002C0136">
      <w:pPr>
        <w:spacing w:after="240" w:line="276" w:lineRule="auto"/>
        <w:jc w:val="both"/>
        <w:rPr>
          <w:rFonts w:cs="Calibri"/>
        </w:rPr>
      </w:pPr>
      <w:r w:rsidRPr="0012649F">
        <w:rPr>
          <w:rFonts w:cs="Calibri"/>
          <w:b/>
          <w:lang w:val="en-IE"/>
        </w:rPr>
        <w:t xml:space="preserve">Dublin, </w:t>
      </w:r>
      <w:r w:rsidR="0012649F" w:rsidRPr="0012649F">
        <w:rPr>
          <w:rFonts w:cs="Calibri"/>
          <w:b/>
          <w:lang w:val="en-IE"/>
        </w:rPr>
        <w:t>24</w:t>
      </w:r>
      <w:r w:rsidR="0012649F" w:rsidRPr="0012649F">
        <w:rPr>
          <w:rFonts w:cs="Calibri"/>
          <w:b/>
          <w:vertAlign w:val="superscript"/>
          <w:lang w:val="en-IE"/>
        </w:rPr>
        <w:t>th</w:t>
      </w:r>
      <w:r w:rsidRPr="0012649F">
        <w:rPr>
          <w:rFonts w:cs="Calibri"/>
          <w:b/>
          <w:lang w:val="en-IE"/>
        </w:rPr>
        <w:t xml:space="preserve"> July 2014</w:t>
      </w:r>
      <w:r w:rsidRPr="0012649F">
        <w:rPr>
          <w:rFonts w:cs="Calibri"/>
          <w:lang w:val="en-IE"/>
        </w:rPr>
        <w:t xml:space="preserve">: </w:t>
      </w:r>
      <w:r w:rsidR="00A10B6A" w:rsidRPr="00530849">
        <w:rPr>
          <w:rFonts w:cs="Calibri"/>
          <w:lang w:val="en-IE"/>
        </w:rPr>
        <w:t xml:space="preserve">The Irish Hospital Consultants Association (IHCA) has expressed its concern that underfunding of hospital </w:t>
      </w:r>
      <w:r w:rsidR="00AC2FE6" w:rsidRPr="00530849">
        <w:rPr>
          <w:rFonts w:cs="Calibri"/>
          <w:lang w:val="en-IE"/>
        </w:rPr>
        <w:t xml:space="preserve">and mental health </w:t>
      </w:r>
      <w:r w:rsidR="00A10B6A" w:rsidRPr="00530849">
        <w:rPr>
          <w:rFonts w:cs="Calibri"/>
          <w:lang w:val="en-IE"/>
        </w:rPr>
        <w:t>services</w:t>
      </w:r>
      <w:r w:rsidR="00A10B6A" w:rsidRPr="0012649F">
        <w:rPr>
          <w:rFonts w:cs="Calibri"/>
          <w:lang w:val="en-IE"/>
        </w:rPr>
        <w:t xml:space="preserve"> is threatening pa</w:t>
      </w:r>
      <w:r w:rsidR="005B284C" w:rsidRPr="0012649F">
        <w:rPr>
          <w:rFonts w:cs="Calibri"/>
          <w:lang w:val="en-IE"/>
        </w:rPr>
        <w:t>tient care</w:t>
      </w:r>
      <w:r w:rsidR="002C0136" w:rsidRPr="0012649F">
        <w:rPr>
          <w:rFonts w:cs="Calibri"/>
          <w:lang w:val="en-IE"/>
        </w:rPr>
        <w:t xml:space="preserve">. The Association </w:t>
      </w:r>
      <w:r w:rsidR="005B284C" w:rsidRPr="0012649F">
        <w:rPr>
          <w:rFonts w:cs="Calibri"/>
          <w:lang w:val="en-IE"/>
        </w:rPr>
        <w:t xml:space="preserve">called for additional resources to be allocated to </w:t>
      </w:r>
      <w:r w:rsidR="00B27459" w:rsidRPr="0012649F">
        <w:rPr>
          <w:rFonts w:cs="Calibri"/>
          <w:lang w:val="en-IE"/>
        </w:rPr>
        <w:t xml:space="preserve">acute </w:t>
      </w:r>
      <w:r w:rsidR="005B284C" w:rsidRPr="0012649F">
        <w:rPr>
          <w:rFonts w:cs="Calibri"/>
          <w:lang w:val="en-IE"/>
        </w:rPr>
        <w:t>hospitals</w:t>
      </w:r>
      <w:r w:rsidR="00B27459" w:rsidRPr="0012649F">
        <w:rPr>
          <w:rFonts w:cs="Calibri"/>
          <w:lang w:val="en-IE"/>
        </w:rPr>
        <w:t xml:space="preserve"> in the 2015 Budget, ensuring</w:t>
      </w:r>
      <w:r w:rsidR="005B284C" w:rsidRPr="0012649F">
        <w:rPr>
          <w:rFonts w:cs="Calibri"/>
          <w:lang w:val="en-IE"/>
        </w:rPr>
        <w:t xml:space="preserve"> the delivery of safe, quality care to patients.</w:t>
      </w:r>
    </w:p>
    <w:p w:rsidR="00A10B6A" w:rsidRPr="0012649F" w:rsidRDefault="00A10B6A" w:rsidP="002C0136">
      <w:pPr>
        <w:spacing w:after="200" w:line="276" w:lineRule="auto"/>
        <w:jc w:val="both"/>
        <w:rPr>
          <w:rFonts w:cs="Calibri"/>
        </w:rPr>
      </w:pPr>
      <w:r w:rsidRPr="0012649F">
        <w:rPr>
          <w:rFonts w:cs="Calibri"/>
          <w:lang w:val="en-IE"/>
        </w:rPr>
        <w:t>The IHCA today launched its pre</w:t>
      </w:r>
      <w:r w:rsidR="00E00E41" w:rsidRPr="0012649F">
        <w:rPr>
          <w:rFonts w:cs="Calibri"/>
          <w:lang w:val="en-IE"/>
        </w:rPr>
        <w:t>-budget submission detailing seven</w:t>
      </w:r>
      <w:r w:rsidRPr="0012649F">
        <w:rPr>
          <w:rFonts w:cs="Calibri"/>
          <w:lang w:val="en-IE"/>
        </w:rPr>
        <w:t xml:space="preserve"> key areas which the Association believes need to be addressed by the </w:t>
      </w:r>
      <w:r w:rsidR="00E00E41" w:rsidRPr="0012649F">
        <w:rPr>
          <w:rFonts w:cs="Calibri"/>
          <w:lang w:val="en-IE"/>
        </w:rPr>
        <w:t>new Minister for Health</w:t>
      </w:r>
      <w:r w:rsidRPr="0012649F">
        <w:rPr>
          <w:rFonts w:cs="Calibri"/>
          <w:lang w:val="en-IE"/>
        </w:rPr>
        <w:t xml:space="preserve"> in the upcoming Budget.</w:t>
      </w:r>
    </w:p>
    <w:p w:rsidR="00ED072A" w:rsidRPr="0012649F" w:rsidRDefault="00A10B6A" w:rsidP="002C0136">
      <w:pPr>
        <w:spacing w:after="200" w:line="276" w:lineRule="auto"/>
        <w:jc w:val="both"/>
        <w:rPr>
          <w:rFonts w:cs="Calibri"/>
          <w:lang w:val="en-IE"/>
        </w:rPr>
      </w:pPr>
      <w:r w:rsidRPr="0012649F">
        <w:rPr>
          <w:rFonts w:cs="Calibri"/>
          <w:lang w:val="en-IE"/>
        </w:rPr>
        <w:t xml:space="preserve">The IHCA stated that </w:t>
      </w:r>
      <w:r w:rsidR="00ED072A" w:rsidRPr="0012649F">
        <w:rPr>
          <w:rFonts w:cs="Calibri"/>
          <w:lang w:val="en-IE"/>
        </w:rPr>
        <w:t>there is a pressing need to increase frontline acute hospital resou</w:t>
      </w:r>
      <w:r w:rsidR="006C7E8F" w:rsidRPr="0012649F">
        <w:rPr>
          <w:rFonts w:cs="Calibri"/>
          <w:lang w:val="en-IE"/>
        </w:rPr>
        <w:t>rces in the 2015 B</w:t>
      </w:r>
      <w:r w:rsidR="00ED072A" w:rsidRPr="0012649F">
        <w:rPr>
          <w:rFonts w:cs="Calibri"/>
          <w:lang w:val="en-IE"/>
        </w:rPr>
        <w:t>udget otherwise the delivery of care to patients will be adversely affected leading to increased delays and growing numbers of patients on waiting lists.</w:t>
      </w:r>
      <w:r w:rsidR="006C7E8F" w:rsidRPr="0012649F">
        <w:rPr>
          <w:rFonts w:cs="Calibri"/>
          <w:lang w:val="en-IE"/>
        </w:rPr>
        <w:t xml:space="preserve"> The total health budget provisions for acute hospitals and mental health services have been cut </w:t>
      </w:r>
      <w:r w:rsidR="00B95551" w:rsidRPr="0012649F">
        <w:rPr>
          <w:rFonts w:cs="Calibri"/>
          <w:lang w:val="en-IE"/>
        </w:rPr>
        <w:t>excessively</w:t>
      </w:r>
      <w:r w:rsidR="006C7E8F" w:rsidRPr="0012649F">
        <w:rPr>
          <w:rFonts w:cs="Calibri"/>
          <w:lang w:val="en-IE"/>
        </w:rPr>
        <w:t xml:space="preserve"> during the past five years of austerity. </w:t>
      </w:r>
      <w:r w:rsidR="00ED072A" w:rsidRPr="0012649F">
        <w:rPr>
          <w:rFonts w:cs="Calibri"/>
          <w:lang w:val="en-IE"/>
        </w:rPr>
        <w:t xml:space="preserve"> </w:t>
      </w:r>
      <w:r w:rsidR="006C7E8F" w:rsidRPr="0012649F">
        <w:rPr>
          <w:rFonts w:cs="Calibri"/>
          <w:lang w:val="en-IE"/>
        </w:rPr>
        <w:t xml:space="preserve">Recent budgets have not been based on realistic estimates of patient demand. It is essential that increased funding for these frontline services is provided in the 2015 Budget, especially as the </w:t>
      </w:r>
      <w:r w:rsidR="00493EC1" w:rsidRPr="0012649F">
        <w:rPr>
          <w:rFonts w:cs="Calibri"/>
          <w:lang w:val="en-IE"/>
        </w:rPr>
        <w:t xml:space="preserve">country’s economic </w:t>
      </w:r>
      <w:r w:rsidR="006C7E8F" w:rsidRPr="0012649F">
        <w:rPr>
          <w:rFonts w:cs="Calibri"/>
          <w:lang w:val="en-IE"/>
        </w:rPr>
        <w:t>circumstances continue to improve.</w:t>
      </w:r>
    </w:p>
    <w:p w:rsidR="00A10B6A" w:rsidRPr="0012649F" w:rsidRDefault="00A10B6A" w:rsidP="002C0136">
      <w:pPr>
        <w:spacing w:after="200" w:line="276" w:lineRule="auto"/>
        <w:jc w:val="both"/>
        <w:rPr>
          <w:rFonts w:cs="Calibri"/>
        </w:rPr>
      </w:pPr>
      <w:r w:rsidRPr="0012649F">
        <w:rPr>
          <w:rFonts w:cs="Calibri"/>
          <w:lang w:val="en-IE"/>
        </w:rPr>
        <w:t xml:space="preserve">Commenting on its pre-budget submission, </w:t>
      </w:r>
      <w:r w:rsidR="00E00E41" w:rsidRPr="0012649F">
        <w:rPr>
          <w:rFonts w:cs="Calibri"/>
        </w:rPr>
        <w:t>Dr Gerard Crotty</w:t>
      </w:r>
      <w:r w:rsidRPr="0012649F">
        <w:rPr>
          <w:rFonts w:cs="Calibri"/>
          <w:lang w:val="en-IE"/>
        </w:rPr>
        <w:t xml:space="preserve">, President of the IHCA said: </w:t>
      </w:r>
    </w:p>
    <w:p w:rsidR="00A10B6A" w:rsidRPr="0012649F" w:rsidRDefault="00A10B6A" w:rsidP="002C0136">
      <w:pPr>
        <w:spacing w:after="200" w:line="276" w:lineRule="auto"/>
        <w:ind w:left="720"/>
        <w:jc w:val="both"/>
        <w:rPr>
          <w:rFonts w:cs="Calibri"/>
        </w:rPr>
      </w:pPr>
      <w:r w:rsidRPr="0012649F">
        <w:rPr>
          <w:rFonts w:cs="Calibri"/>
          <w:lang w:val="en-IE"/>
        </w:rPr>
        <w:t>“</w:t>
      </w:r>
      <w:r w:rsidR="005B284C" w:rsidRPr="0012649F">
        <w:rPr>
          <w:rFonts w:cs="Calibri"/>
          <w:lang w:val="en-IE"/>
        </w:rPr>
        <w:t xml:space="preserve">It is a major concern </w:t>
      </w:r>
      <w:r w:rsidR="00493EC1" w:rsidRPr="0012649F">
        <w:rPr>
          <w:rFonts w:cs="Calibri"/>
          <w:lang w:val="en-IE"/>
        </w:rPr>
        <w:t>that budgets for acute hospitals have been cut to unrealistic level</w:t>
      </w:r>
      <w:r w:rsidR="00885D8B" w:rsidRPr="0012649F">
        <w:rPr>
          <w:rFonts w:cs="Calibri"/>
          <w:lang w:val="en-IE"/>
        </w:rPr>
        <w:t>s</w:t>
      </w:r>
      <w:r w:rsidR="00493EC1" w:rsidRPr="0012649F">
        <w:rPr>
          <w:rFonts w:cs="Calibri"/>
          <w:lang w:val="en-IE"/>
        </w:rPr>
        <w:t xml:space="preserve"> such </w:t>
      </w:r>
      <w:r w:rsidR="005B284C" w:rsidRPr="0012649F">
        <w:rPr>
          <w:rFonts w:cs="Calibri"/>
          <w:lang w:val="en-IE"/>
        </w:rPr>
        <w:t>that</w:t>
      </w:r>
      <w:r w:rsidR="00493EC1" w:rsidRPr="0012649F">
        <w:rPr>
          <w:rFonts w:cs="Calibri"/>
          <w:lang w:val="en-IE"/>
        </w:rPr>
        <w:t>,</w:t>
      </w:r>
      <w:r w:rsidR="005B284C" w:rsidRPr="0012649F">
        <w:rPr>
          <w:rFonts w:cs="Calibri"/>
          <w:lang w:val="en-IE"/>
        </w:rPr>
        <w:t xml:space="preserve"> in the first five </w:t>
      </w:r>
      <w:r w:rsidR="00B95551" w:rsidRPr="0012649F">
        <w:rPr>
          <w:rFonts w:cs="Calibri"/>
          <w:lang w:val="en-IE"/>
        </w:rPr>
        <w:t xml:space="preserve">months of 2014, acute hospital expenditure was </w:t>
      </w:r>
      <w:r w:rsidR="005B284C" w:rsidRPr="0012649F">
        <w:rPr>
          <w:rFonts w:cs="Calibri"/>
          <w:lang w:val="en-IE"/>
        </w:rPr>
        <w:t>€104.8</w:t>
      </w:r>
      <w:r w:rsidR="0036353D" w:rsidRPr="0012649F">
        <w:rPr>
          <w:rFonts w:cs="Calibri"/>
          <w:lang w:val="en-IE"/>
        </w:rPr>
        <w:t>m</w:t>
      </w:r>
      <w:r w:rsidR="00B95551" w:rsidRPr="0012649F">
        <w:rPr>
          <w:rFonts w:cs="Calibri"/>
          <w:lang w:val="en-IE"/>
        </w:rPr>
        <w:t xml:space="preserve"> </w:t>
      </w:r>
      <w:r w:rsidR="005B284C" w:rsidRPr="0012649F">
        <w:rPr>
          <w:rFonts w:cs="Calibri"/>
          <w:lang w:val="en-IE"/>
        </w:rPr>
        <w:t>over-budget</w:t>
      </w:r>
      <w:r w:rsidR="00493EC1" w:rsidRPr="0012649F">
        <w:rPr>
          <w:rFonts w:cs="Calibri"/>
          <w:lang w:val="en-IE"/>
        </w:rPr>
        <w:t>. The vast majority of hospitals are grossly</w:t>
      </w:r>
      <w:r w:rsidR="000074C8" w:rsidRPr="0012649F">
        <w:rPr>
          <w:rFonts w:cs="Calibri"/>
          <w:lang w:val="en-IE"/>
        </w:rPr>
        <w:t xml:space="preserve"> underfunded with some overspending</w:t>
      </w:r>
      <w:r w:rsidR="00493EC1" w:rsidRPr="0012649F">
        <w:rPr>
          <w:rFonts w:cs="Calibri"/>
          <w:lang w:val="en-IE"/>
        </w:rPr>
        <w:t xml:space="preserve"> by up to </w:t>
      </w:r>
      <w:r w:rsidR="00B95551" w:rsidRPr="0012649F">
        <w:rPr>
          <w:rFonts w:cs="Calibri"/>
          <w:lang w:val="en-IE"/>
        </w:rPr>
        <w:t>21%</w:t>
      </w:r>
      <w:r w:rsidRPr="0012649F">
        <w:rPr>
          <w:rFonts w:cs="Calibri"/>
          <w:lang w:val="en-IE"/>
        </w:rPr>
        <w:t>.</w:t>
      </w:r>
      <w:r w:rsidR="006C7E8F" w:rsidRPr="0012649F">
        <w:rPr>
          <w:rFonts w:cs="Calibri"/>
          <w:lang w:val="en-IE"/>
        </w:rPr>
        <w:t xml:space="preserve"> </w:t>
      </w:r>
      <w:r w:rsidR="00711309" w:rsidRPr="0012649F">
        <w:rPr>
          <w:rFonts w:cs="Calibri"/>
          <w:lang w:val="en-IE"/>
        </w:rPr>
        <w:t>Funding for acute hospital services has been cut by almost one fifth</w:t>
      </w:r>
      <w:r w:rsidR="00B27459" w:rsidRPr="0012649F">
        <w:rPr>
          <w:rFonts w:cs="Calibri"/>
          <w:lang w:val="en-IE"/>
        </w:rPr>
        <w:t xml:space="preserve"> </w:t>
      </w:r>
      <w:r w:rsidR="000074C8" w:rsidRPr="0012649F">
        <w:rPr>
          <w:rFonts w:cs="Calibri"/>
          <w:lang w:val="en-IE"/>
        </w:rPr>
        <w:t xml:space="preserve">compared with </w:t>
      </w:r>
      <w:r w:rsidR="00711309" w:rsidRPr="0012649F">
        <w:rPr>
          <w:rFonts w:cs="Calibri"/>
          <w:lang w:val="en-IE"/>
        </w:rPr>
        <w:t xml:space="preserve">the resources in place in 2008.  </w:t>
      </w:r>
      <w:r w:rsidR="006C7E8F" w:rsidRPr="0012649F">
        <w:rPr>
          <w:rFonts w:cs="Calibri"/>
          <w:lang w:val="en-IE"/>
        </w:rPr>
        <w:t>If increased resources are not provided</w:t>
      </w:r>
      <w:r w:rsidR="001265E8" w:rsidRPr="0012649F">
        <w:rPr>
          <w:rFonts w:cs="Calibri"/>
          <w:lang w:val="en-IE"/>
        </w:rPr>
        <w:t xml:space="preserve"> in the 2015 B</w:t>
      </w:r>
      <w:r w:rsidR="006C7E8F" w:rsidRPr="0012649F">
        <w:rPr>
          <w:rFonts w:cs="Calibri"/>
          <w:lang w:val="en-IE"/>
        </w:rPr>
        <w:t>udget it will increase the risk that a growing number of patients will not be treated within a medically appropriate timeframe.</w:t>
      </w:r>
      <w:r w:rsidRPr="0012649F">
        <w:rPr>
          <w:rFonts w:cs="Calibri"/>
          <w:lang w:val="en-IE"/>
        </w:rPr>
        <w:t>”</w:t>
      </w:r>
    </w:p>
    <w:p w:rsidR="00711309" w:rsidRPr="0012649F" w:rsidRDefault="00A10B6A" w:rsidP="002C0136">
      <w:pPr>
        <w:spacing w:after="200" w:line="276" w:lineRule="auto"/>
        <w:ind w:left="720"/>
        <w:jc w:val="both"/>
        <w:rPr>
          <w:rFonts w:cs="Calibri"/>
          <w:lang w:val="en-IE"/>
        </w:rPr>
      </w:pPr>
      <w:r w:rsidRPr="0012649F">
        <w:rPr>
          <w:rFonts w:cs="Calibri"/>
          <w:lang w:val="en-IE"/>
        </w:rPr>
        <w:t> “</w:t>
      </w:r>
      <w:r w:rsidR="00711309" w:rsidRPr="0012649F">
        <w:rPr>
          <w:rFonts w:cs="Calibri"/>
          <w:lang w:val="en-IE"/>
        </w:rPr>
        <w:t xml:space="preserve">Alarmingly, there were 50,689 patients awaiting elective care in May 2014 representing a 5% increase on May 2013. </w:t>
      </w:r>
      <w:r w:rsidR="00325105" w:rsidRPr="0012649F">
        <w:rPr>
          <w:rFonts w:cs="Calibri"/>
          <w:lang w:val="en-IE"/>
        </w:rPr>
        <w:t>It is clear that the deep acute hospital budget cuts have increased the number of patients awaiting treatment and i</w:t>
      </w:r>
      <w:r w:rsidR="00711309" w:rsidRPr="0012649F">
        <w:rPr>
          <w:rFonts w:cs="Calibri"/>
          <w:lang w:val="en-IE"/>
        </w:rPr>
        <w:t xml:space="preserve">t is essential that hospital budgets are based on more realistic </w:t>
      </w:r>
      <w:r w:rsidR="00B27459" w:rsidRPr="0012649F">
        <w:rPr>
          <w:rFonts w:cs="Calibri"/>
          <w:lang w:val="en-IE"/>
        </w:rPr>
        <w:t>estimates of projected demand.</w:t>
      </w:r>
      <w:r w:rsidR="00325105" w:rsidRPr="0012649F">
        <w:rPr>
          <w:rFonts w:cs="Calibri"/>
          <w:lang w:val="en-IE"/>
        </w:rPr>
        <w:t xml:space="preserve"> T</w:t>
      </w:r>
      <w:r w:rsidR="00493EC1" w:rsidRPr="0012649F">
        <w:rPr>
          <w:rFonts w:cs="Calibri"/>
          <w:lang w:val="en-IE"/>
        </w:rPr>
        <w:t>he Association</w:t>
      </w:r>
      <w:r w:rsidR="00711309" w:rsidRPr="0012649F">
        <w:rPr>
          <w:rFonts w:cs="Calibri"/>
          <w:lang w:val="en-IE"/>
        </w:rPr>
        <w:t xml:space="preserve"> strongly recommend</w:t>
      </w:r>
      <w:r w:rsidR="00493EC1" w:rsidRPr="0012649F">
        <w:rPr>
          <w:rFonts w:cs="Calibri"/>
          <w:lang w:val="en-IE"/>
        </w:rPr>
        <w:t>s</w:t>
      </w:r>
      <w:r w:rsidR="00711309" w:rsidRPr="0012649F">
        <w:rPr>
          <w:rFonts w:cs="Calibri"/>
          <w:lang w:val="en-IE"/>
        </w:rPr>
        <w:t xml:space="preserve"> that increased resources are provided in Budget 2015 in order to utilise the existing bed and t</w:t>
      </w:r>
      <w:r w:rsidR="00B27459" w:rsidRPr="0012649F">
        <w:rPr>
          <w:rFonts w:cs="Calibri"/>
          <w:lang w:val="en-IE"/>
        </w:rPr>
        <w:t>heatre capacity to the optimum.”</w:t>
      </w:r>
    </w:p>
    <w:p w:rsidR="00A10B6A" w:rsidRPr="00F06810" w:rsidRDefault="00A10B6A" w:rsidP="002C0136">
      <w:pPr>
        <w:spacing w:after="200" w:line="276" w:lineRule="auto"/>
        <w:jc w:val="both"/>
        <w:rPr>
          <w:rFonts w:cs="Calibri"/>
        </w:rPr>
      </w:pPr>
      <w:r w:rsidRPr="00F06810">
        <w:rPr>
          <w:rFonts w:cs="Calibri"/>
          <w:lang w:val="en-IE"/>
        </w:rPr>
        <w:t>The IHCA’s pre-budget submission</w:t>
      </w:r>
      <w:r w:rsidR="00B27459" w:rsidRPr="00F06810">
        <w:rPr>
          <w:rFonts w:cs="Calibri"/>
          <w:lang w:val="en-IE"/>
        </w:rPr>
        <w:t xml:space="preserve"> also called for </w:t>
      </w:r>
      <w:r w:rsidR="00B95551" w:rsidRPr="00F06810">
        <w:rPr>
          <w:rFonts w:cs="Calibri"/>
          <w:lang w:val="en-IE"/>
        </w:rPr>
        <w:t>increase</w:t>
      </w:r>
      <w:r w:rsidR="00493EC1" w:rsidRPr="00F06810">
        <w:rPr>
          <w:rFonts w:cs="Calibri"/>
          <w:lang w:val="en-IE"/>
        </w:rPr>
        <w:t>d</w:t>
      </w:r>
      <w:r w:rsidR="00B95551" w:rsidRPr="00F06810">
        <w:rPr>
          <w:rFonts w:cs="Calibri"/>
          <w:lang w:val="en-IE"/>
        </w:rPr>
        <w:t xml:space="preserve"> frontline </w:t>
      </w:r>
      <w:r w:rsidR="00493EC1" w:rsidRPr="00F06810">
        <w:rPr>
          <w:rFonts w:cs="Calibri"/>
          <w:lang w:val="en-IE"/>
        </w:rPr>
        <w:t xml:space="preserve">hospital </w:t>
      </w:r>
      <w:r w:rsidR="00B95551" w:rsidRPr="00F06810">
        <w:rPr>
          <w:rFonts w:cs="Calibri"/>
          <w:lang w:val="en-IE"/>
        </w:rPr>
        <w:t xml:space="preserve">staffing to </w:t>
      </w:r>
      <w:r w:rsidR="00885D8B" w:rsidRPr="00F06810">
        <w:rPr>
          <w:rFonts w:cs="Calibri"/>
          <w:lang w:val="en-IE"/>
        </w:rPr>
        <w:t xml:space="preserve">ensure the </w:t>
      </w:r>
      <w:r w:rsidR="00B95551" w:rsidRPr="00F06810">
        <w:rPr>
          <w:rFonts w:cs="Calibri"/>
          <w:lang w:val="en-IE"/>
        </w:rPr>
        <w:t>deliver</w:t>
      </w:r>
      <w:r w:rsidR="00885D8B" w:rsidRPr="00F06810">
        <w:rPr>
          <w:rFonts w:cs="Calibri"/>
          <w:lang w:val="en-IE"/>
        </w:rPr>
        <w:t>y of</w:t>
      </w:r>
      <w:r w:rsidR="00B95551" w:rsidRPr="00F06810">
        <w:rPr>
          <w:rFonts w:cs="Calibri"/>
          <w:lang w:val="en-IE"/>
        </w:rPr>
        <w:t xml:space="preserve"> safe, high quality care to patients without delays. </w:t>
      </w:r>
      <w:r w:rsidR="00B27459" w:rsidRPr="00F06810">
        <w:rPr>
          <w:rFonts w:cs="Calibri"/>
          <w:lang w:val="en-IE"/>
        </w:rPr>
        <w:t xml:space="preserve">The submission calls for </w:t>
      </w:r>
      <w:r w:rsidRPr="00F06810">
        <w:rPr>
          <w:rFonts w:cs="Calibri"/>
          <w:lang w:val="en-IE"/>
        </w:rPr>
        <w:t xml:space="preserve">the restoration </w:t>
      </w:r>
      <w:r w:rsidR="00493EC1" w:rsidRPr="00F06810">
        <w:rPr>
          <w:rFonts w:cs="Calibri"/>
          <w:lang w:val="en-IE"/>
        </w:rPr>
        <w:t xml:space="preserve">of tax relief on health insurance to the levels </w:t>
      </w:r>
      <w:r w:rsidR="000074C8" w:rsidRPr="00F06810">
        <w:rPr>
          <w:rFonts w:cs="Calibri"/>
          <w:lang w:val="en-IE"/>
        </w:rPr>
        <w:t xml:space="preserve">that pertained </w:t>
      </w:r>
      <w:r w:rsidR="00493EC1" w:rsidRPr="00F06810">
        <w:rPr>
          <w:rFonts w:cs="Calibri"/>
          <w:lang w:val="en-IE"/>
        </w:rPr>
        <w:t xml:space="preserve">prior to the last budget. </w:t>
      </w:r>
      <w:r w:rsidR="00396307" w:rsidRPr="00F06810">
        <w:rPr>
          <w:rFonts w:cs="Calibri"/>
          <w:lang w:val="en-IE"/>
        </w:rPr>
        <w:t xml:space="preserve">It recommends increased funding and staff levels to improve </w:t>
      </w:r>
      <w:r w:rsidRPr="00F06810">
        <w:rPr>
          <w:rFonts w:cs="Calibri"/>
          <w:lang w:val="en-IE"/>
        </w:rPr>
        <w:t>Mental Health Services</w:t>
      </w:r>
      <w:r w:rsidR="00396307" w:rsidRPr="00F06810">
        <w:rPr>
          <w:rFonts w:cs="Calibri"/>
          <w:lang w:val="en-IE"/>
        </w:rPr>
        <w:t xml:space="preserve">. The Association has highlighted the urgent need to </w:t>
      </w:r>
      <w:r w:rsidR="00B27459" w:rsidRPr="00F06810">
        <w:rPr>
          <w:rFonts w:cs="Calibri"/>
          <w:lang w:val="en-IE"/>
        </w:rPr>
        <w:t>revers</w:t>
      </w:r>
      <w:r w:rsidR="00396307" w:rsidRPr="00F06810">
        <w:rPr>
          <w:rFonts w:cs="Calibri"/>
          <w:lang w:val="en-IE"/>
        </w:rPr>
        <w:t>e</w:t>
      </w:r>
      <w:r w:rsidR="00B27459" w:rsidRPr="00F06810">
        <w:rPr>
          <w:rFonts w:cs="Calibri"/>
          <w:lang w:val="en-IE"/>
        </w:rPr>
        <w:t xml:space="preserve"> the 30% </w:t>
      </w:r>
      <w:r w:rsidR="00396307" w:rsidRPr="00F06810">
        <w:rPr>
          <w:rFonts w:cs="Calibri"/>
          <w:lang w:val="en-IE"/>
        </w:rPr>
        <w:t xml:space="preserve">unilateral </w:t>
      </w:r>
      <w:r w:rsidR="00B27459" w:rsidRPr="00F06810">
        <w:rPr>
          <w:rFonts w:cs="Calibri"/>
          <w:lang w:val="en-IE"/>
        </w:rPr>
        <w:t xml:space="preserve">cut in new Consultant salaries so that Ireland can attract and retain the calibre and </w:t>
      </w:r>
      <w:r w:rsidR="004F07C5" w:rsidRPr="00F06810">
        <w:rPr>
          <w:rFonts w:cs="Calibri"/>
          <w:lang w:val="en-IE"/>
        </w:rPr>
        <w:t xml:space="preserve">number </w:t>
      </w:r>
      <w:r w:rsidR="00B27459" w:rsidRPr="00F06810">
        <w:rPr>
          <w:rFonts w:cs="Calibri"/>
          <w:lang w:val="en-IE"/>
        </w:rPr>
        <w:t>of Consultants needed</w:t>
      </w:r>
      <w:r w:rsidR="00881B37" w:rsidRPr="00F06810">
        <w:rPr>
          <w:rFonts w:cs="Calibri"/>
          <w:lang w:val="en-IE"/>
        </w:rPr>
        <w:t xml:space="preserve"> to provide care to patients without delay.</w:t>
      </w:r>
    </w:p>
    <w:p w:rsidR="00A10B6A" w:rsidRPr="00F06810" w:rsidRDefault="00A10B6A" w:rsidP="002C0136">
      <w:pPr>
        <w:spacing w:line="276" w:lineRule="auto"/>
        <w:jc w:val="both"/>
        <w:rPr>
          <w:rFonts w:cs="Calibri"/>
        </w:rPr>
      </w:pPr>
      <w:r w:rsidRPr="00F06810">
        <w:rPr>
          <w:rFonts w:cs="Calibri"/>
          <w:lang w:val="en-IE"/>
        </w:rPr>
        <w:t>Key statistics noted in the submission include the following:</w:t>
      </w:r>
    </w:p>
    <w:p w:rsidR="002C0136" w:rsidRDefault="002C0136" w:rsidP="002C0136">
      <w:pPr>
        <w:numPr>
          <w:ilvl w:val="0"/>
          <w:numId w:val="2"/>
        </w:numPr>
        <w:spacing w:line="276" w:lineRule="auto"/>
        <w:jc w:val="both"/>
        <w:rPr>
          <w:rFonts w:eastAsia="Times New Roman" w:cs="Calibri"/>
        </w:rPr>
      </w:pPr>
      <w:r w:rsidRPr="00F06810">
        <w:rPr>
          <w:rFonts w:eastAsia="Times New Roman" w:cs="Calibri"/>
        </w:rPr>
        <w:t>Total health spending in Ireland accounted for 8.9% of GDP which is significantly below the OECD average. Health spending, as a share of GDP is much lower in Ireland than in other European Countries such as Austria, Denmark, France, the Netherlands, Germany and Switzerland where it accounts for 11% or more of GDP.</w:t>
      </w:r>
    </w:p>
    <w:p w:rsidR="00F06810" w:rsidRPr="00F06810" w:rsidRDefault="00F06810" w:rsidP="00F06810">
      <w:pPr>
        <w:spacing w:line="276" w:lineRule="auto"/>
        <w:ind w:left="720"/>
        <w:jc w:val="both"/>
        <w:rPr>
          <w:rFonts w:eastAsia="Times New Roman" w:cs="Calibri"/>
        </w:rPr>
      </w:pPr>
    </w:p>
    <w:p w:rsidR="002835F6" w:rsidRDefault="002835F6" w:rsidP="002C0136">
      <w:pPr>
        <w:numPr>
          <w:ilvl w:val="0"/>
          <w:numId w:val="2"/>
        </w:numPr>
        <w:spacing w:line="276" w:lineRule="auto"/>
        <w:jc w:val="both"/>
        <w:rPr>
          <w:rFonts w:eastAsia="Times New Roman" w:cs="Calibri"/>
        </w:rPr>
      </w:pPr>
      <w:r w:rsidRPr="00F06810">
        <w:rPr>
          <w:rFonts w:eastAsia="Times New Roman" w:cs="Calibri"/>
        </w:rPr>
        <w:t>Funding for acute hospitals has been cut by almost a fifth or around €873m since 2008, at a time when the number of in-patients and day case patients has increased from 1.2m to 1.43m</w:t>
      </w:r>
      <w:r w:rsidR="00721E3D" w:rsidRPr="00F06810">
        <w:rPr>
          <w:rFonts w:eastAsia="Times New Roman" w:cs="Calibri"/>
        </w:rPr>
        <w:t xml:space="preserve">. </w:t>
      </w:r>
    </w:p>
    <w:p w:rsidR="00F06810" w:rsidRDefault="00F06810" w:rsidP="00F06810">
      <w:pPr>
        <w:pStyle w:val="ListParagraph"/>
        <w:rPr>
          <w:rFonts w:eastAsia="Times New Roman" w:cs="Calibri"/>
        </w:rPr>
      </w:pPr>
    </w:p>
    <w:p w:rsidR="00721E3D" w:rsidRPr="00F06810" w:rsidRDefault="00122942" w:rsidP="002C0136">
      <w:pPr>
        <w:numPr>
          <w:ilvl w:val="0"/>
          <w:numId w:val="2"/>
        </w:numPr>
        <w:spacing w:line="276" w:lineRule="auto"/>
        <w:jc w:val="both"/>
        <w:rPr>
          <w:rFonts w:eastAsia="Times New Roman" w:cs="Calibri"/>
          <w:lang w:val="en-IE"/>
        </w:rPr>
      </w:pPr>
      <w:r w:rsidRPr="00F06810">
        <w:rPr>
          <w:rFonts w:eastAsia="Times New Roman" w:cs="Calibri"/>
        </w:rPr>
        <w:t>In the first five months of 2014, 46 of the 49 acute hospitals</w:t>
      </w:r>
      <w:r w:rsidR="00721E3D" w:rsidRPr="00F06810">
        <w:rPr>
          <w:rFonts w:eastAsia="Times New Roman" w:cs="Calibri"/>
        </w:rPr>
        <w:t xml:space="preserve"> were over budget, as </w:t>
      </w:r>
      <w:r w:rsidRPr="00F06810">
        <w:rPr>
          <w:rFonts w:eastAsia="Times New Roman" w:cs="Calibri"/>
        </w:rPr>
        <w:t>reported in the HSE May 2014 Performance Report</w:t>
      </w:r>
      <w:r w:rsidR="00721E3D" w:rsidRPr="00F06810">
        <w:rPr>
          <w:rFonts w:eastAsia="Times New Roman" w:cs="Calibri"/>
        </w:rPr>
        <w:t xml:space="preserve">. </w:t>
      </w:r>
    </w:p>
    <w:p w:rsidR="00F06810" w:rsidRDefault="00F06810" w:rsidP="00F06810">
      <w:pPr>
        <w:pStyle w:val="ListParagraph"/>
        <w:rPr>
          <w:rFonts w:eastAsia="Times New Roman" w:cs="Calibri"/>
          <w:lang w:val="en-IE"/>
        </w:rPr>
      </w:pPr>
    </w:p>
    <w:p w:rsidR="002C0136" w:rsidRPr="00F06810" w:rsidRDefault="004918FF" w:rsidP="002C0136">
      <w:pPr>
        <w:numPr>
          <w:ilvl w:val="0"/>
          <w:numId w:val="2"/>
        </w:numPr>
        <w:spacing w:line="276" w:lineRule="auto"/>
        <w:jc w:val="both"/>
        <w:rPr>
          <w:rFonts w:eastAsia="Times New Roman" w:cs="Calibri"/>
          <w:lang w:val="en-IE"/>
        </w:rPr>
      </w:pPr>
      <w:r w:rsidRPr="00F06810">
        <w:rPr>
          <w:rFonts w:eastAsia="Times New Roman" w:cs="Calibri"/>
          <w:lang w:val="en-IE"/>
        </w:rPr>
        <w:t>The number of day-case patients treated in 201</w:t>
      </w:r>
      <w:r w:rsidR="000074C8" w:rsidRPr="00F06810">
        <w:rPr>
          <w:rFonts w:eastAsia="Times New Roman" w:cs="Calibri"/>
          <w:lang w:val="en-IE"/>
        </w:rPr>
        <w:t xml:space="preserve">3 </w:t>
      </w:r>
      <w:r w:rsidRPr="00F06810">
        <w:rPr>
          <w:rFonts w:eastAsia="Times New Roman" w:cs="Calibri"/>
          <w:lang w:val="en-IE"/>
        </w:rPr>
        <w:t>was 42% or 246,117 cases higher than in 2007. However, in the first 5 months of this year, 12,500 (-3.5%) fewer day-case patients were treated than in the same period last year.  This has given rise to an increase in elective waiting lists</w:t>
      </w:r>
      <w:r w:rsidR="00A10B6A" w:rsidRPr="00F06810">
        <w:rPr>
          <w:rFonts w:eastAsia="Times New Roman" w:cs="Calibri"/>
          <w:lang w:val="en-IE"/>
        </w:rPr>
        <w:t xml:space="preserve">. </w:t>
      </w:r>
    </w:p>
    <w:p w:rsidR="002C014A" w:rsidRPr="00F06810" w:rsidRDefault="002835F6" w:rsidP="002C0136">
      <w:pPr>
        <w:numPr>
          <w:ilvl w:val="0"/>
          <w:numId w:val="2"/>
        </w:numPr>
        <w:spacing w:before="240" w:line="276" w:lineRule="auto"/>
        <w:jc w:val="both"/>
        <w:rPr>
          <w:rFonts w:eastAsia="Times New Roman" w:cs="Calibri"/>
          <w:lang w:val="en-IE"/>
        </w:rPr>
      </w:pPr>
      <w:r w:rsidRPr="00F06810">
        <w:rPr>
          <w:rFonts w:eastAsia="Times New Roman" w:cs="Calibri"/>
          <w:lang w:val="en-IE"/>
        </w:rPr>
        <w:t xml:space="preserve">The number of people awaiting elective care increased by 5% to 50,689, of which 4,649 were children, in the year to May 2014. </w:t>
      </w:r>
    </w:p>
    <w:p w:rsidR="00E761F5" w:rsidRPr="00F06810" w:rsidRDefault="00E761F5" w:rsidP="00E761F5">
      <w:pPr>
        <w:pStyle w:val="ListParagraph"/>
        <w:numPr>
          <w:ilvl w:val="0"/>
          <w:numId w:val="2"/>
        </w:numPr>
        <w:spacing w:before="240" w:line="276" w:lineRule="auto"/>
        <w:jc w:val="both"/>
        <w:rPr>
          <w:rFonts w:eastAsia="Times New Roman" w:cs="Calibri"/>
          <w:lang w:val="en-IE"/>
        </w:rPr>
      </w:pPr>
      <w:r w:rsidRPr="00F06810">
        <w:rPr>
          <w:rFonts w:eastAsia="Times New Roman" w:cs="Calibri"/>
          <w:lang w:val="en-IE"/>
        </w:rPr>
        <w:t xml:space="preserve">The number of clinically discharge patients occupying acute hospital beds continues to be around 670, which is equivalent to Beaumont Hospital or University Hospital Galway being closed </w:t>
      </w:r>
      <w:r w:rsidR="009D5A50" w:rsidRPr="00F06810">
        <w:rPr>
          <w:rFonts w:eastAsia="Times New Roman" w:cs="Calibri"/>
          <w:lang w:val="en-IE"/>
        </w:rPr>
        <w:t xml:space="preserve">to new admissions </w:t>
      </w:r>
      <w:r w:rsidRPr="00F06810">
        <w:rPr>
          <w:rFonts w:eastAsia="Times New Roman" w:cs="Calibri"/>
          <w:lang w:val="en-IE"/>
        </w:rPr>
        <w:t>throughout the year.</w:t>
      </w:r>
    </w:p>
    <w:p w:rsidR="002835F6" w:rsidRPr="00F06810" w:rsidRDefault="002835F6" w:rsidP="002C0136">
      <w:pPr>
        <w:numPr>
          <w:ilvl w:val="0"/>
          <w:numId w:val="2"/>
        </w:numPr>
        <w:spacing w:before="240" w:line="276" w:lineRule="auto"/>
        <w:jc w:val="both"/>
        <w:rPr>
          <w:rFonts w:eastAsia="Times New Roman" w:cs="Calibri"/>
          <w:lang w:val="en-IE"/>
        </w:rPr>
      </w:pPr>
      <w:r w:rsidRPr="00F06810">
        <w:rPr>
          <w:rFonts w:eastAsia="Times New Roman" w:cs="Calibri"/>
          <w:lang w:val="en-IE"/>
        </w:rPr>
        <w:t xml:space="preserve">Mental Health funding has been cut by almost €250m, or 25% since 2009, while simultaneously, </w:t>
      </w:r>
      <w:r w:rsidRPr="00F06810">
        <w:rPr>
          <w:rFonts w:eastAsia="Times New Roman" w:cs="Calibri"/>
        </w:rPr>
        <w:t>Child and Adolescent Mental Health Services have reported an increase in the numbers on waiting lists to 3,029 cases, representing an 11% increase on the same period last year.</w:t>
      </w:r>
    </w:p>
    <w:p w:rsidR="00F06810" w:rsidRDefault="004918FF" w:rsidP="002C0136">
      <w:pPr>
        <w:numPr>
          <w:ilvl w:val="0"/>
          <w:numId w:val="2"/>
        </w:numPr>
        <w:spacing w:before="240" w:line="276" w:lineRule="auto"/>
        <w:jc w:val="both"/>
        <w:rPr>
          <w:rFonts w:eastAsia="Times New Roman" w:cs="Calibri"/>
          <w:lang w:val="en-IE"/>
        </w:rPr>
      </w:pPr>
      <w:r w:rsidRPr="00F06810">
        <w:rPr>
          <w:rFonts w:eastAsia="Times New Roman" w:cs="Calibri"/>
          <w:lang w:val="en-IE"/>
        </w:rPr>
        <w:t xml:space="preserve">Currently, Ireland has approximately two thirds the number of Hospital Consultants recommended a decade ago in the Hanly Report. </w:t>
      </w:r>
      <w:r w:rsidR="009D5A50" w:rsidRPr="00F06810">
        <w:rPr>
          <w:rFonts w:eastAsia="Times New Roman" w:cs="Calibri"/>
          <w:lang w:val="en-IE"/>
        </w:rPr>
        <w:t xml:space="preserve"> </w:t>
      </w:r>
      <w:r w:rsidRPr="00F06810">
        <w:rPr>
          <w:rFonts w:eastAsia="Times New Roman" w:cs="Calibri"/>
          <w:lang w:val="en-IE"/>
        </w:rPr>
        <w:t>In the interim, the demand for care has grown substantially due to the country’s increasing and ageing population</w:t>
      </w:r>
      <w:r w:rsidR="00721E3D" w:rsidRPr="00F06810">
        <w:rPr>
          <w:rFonts w:eastAsia="Times New Roman" w:cs="Calibri"/>
          <w:lang w:val="en-IE"/>
        </w:rPr>
        <w:t>.</w:t>
      </w:r>
      <w:r w:rsidR="002C014A" w:rsidRPr="00F06810">
        <w:rPr>
          <w:rFonts w:eastAsia="Times New Roman" w:cs="Calibri"/>
          <w:lang w:val="en-IE"/>
        </w:rPr>
        <w:t xml:space="preserve"> In some specialties, Ireland has around one third to half the number of Hospital Consultants </w:t>
      </w:r>
      <w:r w:rsidR="00721E3D" w:rsidRPr="00F06810">
        <w:rPr>
          <w:rFonts w:eastAsia="Times New Roman" w:cs="Calibri"/>
          <w:lang w:val="en-IE"/>
        </w:rPr>
        <w:t xml:space="preserve">it needs and </w:t>
      </w:r>
      <w:r w:rsidR="002C014A" w:rsidRPr="00F06810">
        <w:rPr>
          <w:rFonts w:eastAsia="Times New Roman" w:cs="Calibri"/>
          <w:lang w:val="en-IE"/>
        </w:rPr>
        <w:t>compared with the recommended international norms.</w:t>
      </w:r>
    </w:p>
    <w:p w:rsidR="002C014A" w:rsidRPr="00F06810" w:rsidRDefault="002C014A" w:rsidP="002C0136">
      <w:pPr>
        <w:numPr>
          <w:ilvl w:val="0"/>
          <w:numId w:val="2"/>
        </w:numPr>
        <w:spacing w:before="240" w:line="276" w:lineRule="auto"/>
        <w:jc w:val="both"/>
        <w:rPr>
          <w:rFonts w:eastAsia="Times New Roman" w:cs="Calibri"/>
          <w:lang w:val="en-IE"/>
        </w:rPr>
      </w:pPr>
      <w:r w:rsidRPr="00F06810">
        <w:rPr>
          <w:rFonts w:eastAsia="Times New Roman" w:cs="Calibri"/>
          <w:lang w:val="en-IE"/>
        </w:rPr>
        <w:t>Bas</w:t>
      </w:r>
      <w:r w:rsidR="00E761F5" w:rsidRPr="00F06810">
        <w:rPr>
          <w:rFonts w:eastAsia="Times New Roman" w:cs="Calibri"/>
          <w:lang w:val="en-IE"/>
        </w:rPr>
        <w:t>ed on OECD Health at Glance</w:t>
      </w:r>
      <w:r w:rsidRPr="00F06810">
        <w:rPr>
          <w:rFonts w:eastAsia="Times New Roman" w:cs="Calibri"/>
          <w:lang w:val="en-IE"/>
        </w:rPr>
        <w:t xml:space="preserve">, Ireland has 2.7 doctors per thousand of population, which is 15% fewer doctors than the OECD average of 3.2 per thousand and about 30% fewer doctors than Austria, France, Italy, Germany, Spain, Sweden and Switzerland. </w:t>
      </w:r>
    </w:p>
    <w:p w:rsidR="00A10B6A" w:rsidRDefault="00A10B6A" w:rsidP="002C0136">
      <w:pPr>
        <w:spacing w:before="240" w:after="200" w:line="276" w:lineRule="auto"/>
      </w:pPr>
      <w:r>
        <w:rPr>
          <w:b/>
          <w:bCs/>
          <w:u w:val="single"/>
          <w:lang w:val="en-IE"/>
        </w:rPr>
        <w:t>ENDS</w:t>
      </w:r>
    </w:p>
    <w:p w:rsidR="00A10B6A" w:rsidRDefault="00A10B6A" w:rsidP="00E00E41">
      <w:r>
        <w:rPr>
          <w:b/>
          <w:bCs/>
        </w:rPr>
        <w:t>For further information or to arrange an interview with the IHCA, please contact:</w:t>
      </w:r>
    </w:p>
    <w:p w:rsidR="00A10B6A" w:rsidRDefault="00E00E41" w:rsidP="00E00E41">
      <w:pPr>
        <w:spacing w:line="276" w:lineRule="auto"/>
        <w:rPr>
          <w:lang w:val="en-IE"/>
        </w:rPr>
      </w:pPr>
      <w:r>
        <w:rPr>
          <w:lang w:val="en-IE"/>
        </w:rPr>
        <w:t>Maria McGrath, FleishmanHillard - +353861653055 or</w:t>
      </w:r>
      <w:r w:rsidR="00A10B6A">
        <w:rPr>
          <w:lang w:val="en-IE"/>
        </w:rPr>
        <w:t xml:space="preserve"> </w:t>
      </w:r>
      <w:hyperlink r:id="rId8" w:history="1">
        <w:r w:rsidRPr="00816937">
          <w:rPr>
            <w:rStyle w:val="Hyperlink"/>
            <w:lang w:val="en-IE"/>
          </w:rPr>
          <w:t>Maria.McGrath@fleishmaneurope.com</w:t>
        </w:r>
      </w:hyperlink>
    </w:p>
    <w:p w:rsidR="00E00E41" w:rsidRDefault="00E00E41" w:rsidP="00E00E41">
      <w:pPr>
        <w:spacing w:line="276" w:lineRule="auto"/>
      </w:pPr>
      <w:r>
        <w:rPr>
          <w:lang w:val="en-IE"/>
        </w:rPr>
        <w:t xml:space="preserve">Julian Davis, FleishmanHillard - +353862531269 or </w:t>
      </w:r>
      <w:hyperlink r:id="rId9" w:history="1">
        <w:r w:rsidRPr="00816937">
          <w:rPr>
            <w:rStyle w:val="Hyperlink"/>
            <w:lang w:val="en-IE"/>
          </w:rPr>
          <w:t>Julian.Davis@fleishmaneurope.com</w:t>
        </w:r>
      </w:hyperlink>
      <w:r>
        <w:rPr>
          <w:lang w:val="en-IE"/>
        </w:rPr>
        <w:t xml:space="preserve"> </w:t>
      </w:r>
    </w:p>
    <w:p w:rsidR="00E00E41" w:rsidRDefault="00E00E41" w:rsidP="00A10B6A">
      <w:pPr>
        <w:spacing w:after="200" w:line="276" w:lineRule="auto"/>
      </w:pPr>
    </w:p>
    <w:p w:rsidR="00A10B6A" w:rsidRDefault="00A10B6A" w:rsidP="00A10B6A">
      <w:pPr>
        <w:spacing w:after="200" w:line="276" w:lineRule="auto"/>
      </w:pPr>
      <w:r>
        <w:rPr>
          <w:b/>
          <w:bCs/>
          <w:lang w:val="en-IE"/>
        </w:rPr>
        <w:t>About the IHCA</w:t>
      </w:r>
    </w:p>
    <w:p w:rsidR="00A10B6A" w:rsidRDefault="00A10B6A" w:rsidP="00A10B6A">
      <w:pPr>
        <w:spacing w:after="200" w:line="276" w:lineRule="auto"/>
      </w:pPr>
      <w:r>
        <w:rPr>
          <w:lang w:val="en-IE"/>
        </w:rPr>
        <w:t xml:space="preserve">The Irish Hospital Consultants Association was established to promote, encourage and support the advancement of the practice of Medicine, in all specialties and areas, and the improvement of the Health Services in Ireland. There are over </w:t>
      </w:r>
      <w:r w:rsidRPr="00DE13A3">
        <w:rPr>
          <w:lang w:val="en-IE"/>
        </w:rPr>
        <w:t>2,400</w:t>
      </w:r>
      <w:r>
        <w:rPr>
          <w:lang w:val="en-IE"/>
        </w:rPr>
        <w:t xml:space="preserve"> members of the Association and it is widely recognised as the leading representative voice for the profession in Ireland.</w:t>
      </w:r>
    </w:p>
    <w:p w:rsidR="00FB529E" w:rsidRDefault="00FB529E">
      <w:pPr>
        <w:spacing w:after="200" w:line="276" w:lineRule="auto"/>
      </w:pPr>
      <w:r>
        <w:br w:type="page"/>
      </w:r>
    </w:p>
    <w:p w:rsidR="00FB529E" w:rsidRPr="0041104F" w:rsidRDefault="00FB529E" w:rsidP="004970B3">
      <w:pPr>
        <w:pStyle w:val="Heading1"/>
        <w:spacing w:before="0"/>
        <w:rPr>
          <w:color w:val="auto"/>
        </w:rPr>
      </w:pPr>
    </w:p>
    <w:p w:rsidR="00FB529E" w:rsidRPr="0041104F" w:rsidRDefault="00FB529E" w:rsidP="004970B3">
      <w:pPr>
        <w:pStyle w:val="Heading1"/>
        <w:tabs>
          <w:tab w:val="left" w:pos="284"/>
        </w:tabs>
        <w:spacing w:before="0"/>
        <w:ind w:left="426"/>
        <w:rPr>
          <w:color w:val="auto"/>
        </w:rPr>
      </w:pPr>
    </w:p>
    <w:p w:rsidR="00FB529E" w:rsidRPr="0041104F" w:rsidRDefault="00FB529E" w:rsidP="004970B3">
      <w:pPr>
        <w:tabs>
          <w:tab w:val="left" w:pos="284"/>
        </w:tabs>
        <w:ind w:left="426"/>
        <w:rPr>
          <w:b/>
        </w:rPr>
      </w:pPr>
    </w:p>
    <w:p w:rsidR="00FB529E" w:rsidRPr="00E66F4E" w:rsidRDefault="00FB529E" w:rsidP="0016788B">
      <w:pPr>
        <w:pStyle w:val="Title"/>
        <w:jc w:val="center"/>
        <w:rPr>
          <w:b/>
          <w:color w:val="2B5395"/>
          <w:lang w:val="en-GB"/>
        </w:rPr>
      </w:pPr>
      <w:bookmarkStart w:id="0" w:name="_Toc360723364"/>
      <w:bookmarkStart w:id="1" w:name="_Toc360723446"/>
      <w:r w:rsidRPr="00E66F4E">
        <w:rPr>
          <w:b/>
          <w:color w:val="2B5395"/>
          <w:lang w:val="en-GB"/>
        </w:rPr>
        <w:t>PRE-</w:t>
      </w:r>
      <w:r w:rsidRPr="00E66F4E">
        <w:rPr>
          <w:b/>
          <w:color w:val="2B5395"/>
        </w:rPr>
        <w:t>BUDGET</w:t>
      </w:r>
      <w:r w:rsidRPr="00E66F4E">
        <w:rPr>
          <w:b/>
          <w:color w:val="2B5395"/>
          <w:lang w:val="en-GB"/>
        </w:rPr>
        <w:t xml:space="preserve"> Submission</w:t>
      </w:r>
      <w:r w:rsidRPr="00E66F4E">
        <w:rPr>
          <w:b/>
          <w:color w:val="2B5395"/>
        </w:rPr>
        <w:t>: 201</w:t>
      </w:r>
      <w:bookmarkEnd w:id="0"/>
      <w:bookmarkEnd w:id="1"/>
      <w:r w:rsidRPr="00E66F4E">
        <w:rPr>
          <w:b/>
          <w:color w:val="2B5395"/>
          <w:lang w:val="en-GB"/>
        </w:rPr>
        <w:t>5</w:t>
      </w:r>
    </w:p>
    <w:p w:rsidR="00FB529E" w:rsidRDefault="00FB529E" w:rsidP="00624A5D"/>
    <w:p w:rsidR="00FB529E" w:rsidRDefault="00FB529E" w:rsidP="00624A5D"/>
    <w:p w:rsidR="00FB529E" w:rsidRDefault="00FB529E" w:rsidP="00624A5D"/>
    <w:p w:rsidR="00FB529E" w:rsidRDefault="00FB529E" w:rsidP="00624A5D"/>
    <w:p w:rsidR="00FB529E" w:rsidRDefault="00FB529E" w:rsidP="00624A5D"/>
    <w:p w:rsidR="00FB529E" w:rsidRDefault="00FB529E" w:rsidP="00624A5D"/>
    <w:p w:rsidR="00FB529E" w:rsidRDefault="00FB529E" w:rsidP="00624A5D"/>
    <w:p w:rsidR="00FB529E" w:rsidRDefault="00FB529E" w:rsidP="00624A5D">
      <w:r>
        <w:tab/>
      </w:r>
      <w:r>
        <w:tab/>
      </w:r>
      <w:r>
        <w:tab/>
      </w:r>
      <w:r>
        <w:tab/>
      </w:r>
      <w:r w:rsidRPr="0041104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IHCA logo blue" style="width:170.25pt;height:119.25pt;visibility:visible">
            <v:imagedata r:id="rId10" o:title="IHCA logo blue"/>
          </v:shape>
        </w:pict>
      </w:r>
    </w:p>
    <w:p w:rsidR="00FB529E" w:rsidRDefault="00FB529E" w:rsidP="00624A5D"/>
    <w:p w:rsidR="00FB529E" w:rsidRPr="0016788B" w:rsidRDefault="00FB529E" w:rsidP="00624A5D">
      <w:pPr>
        <w:rPr>
          <w:color w:val="7F7F7F"/>
        </w:rPr>
      </w:pPr>
    </w:p>
    <w:p w:rsidR="00FB529E" w:rsidRPr="00AF641B" w:rsidRDefault="00FB529E" w:rsidP="008F5F56">
      <w:pPr>
        <w:jc w:val="center"/>
        <w:rPr>
          <w:color w:val="2B5395"/>
          <w:sz w:val="40"/>
          <w:szCs w:val="40"/>
        </w:rPr>
      </w:pPr>
      <w:r>
        <w:rPr>
          <w:b/>
          <w:color w:val="2B5395"/>
          <w:sz w:val="40"/>
          <w:szCs w:val="40"/>
        </w:rPr>
        <w:t>24</w:t>
      </w:r>
      <w:r w:rsidRPr="00AF641B">
        <w:rPr>
          <w:b/>
          <w:color w:val="2B5395"/>
          <w:sz w:val="40"/>
          <w:szCs w:val="40"/>
        </w:rPr>
        <w:t xml:space="preserve"> JULY 2014</w:t>
      </w:r>
    </w:p>
    <w:p w:rsidR="00FB529E" w:rsidRDefault="00FB529E" w:rsidP="00624A5D"/>
    <w:p w:rsidR="00FB529E" w:rsidRDefault="00FB529E" w:rsidP="00624A5D"/>
    <w:p w:rsidR="00FB529E" w:rsidRDefault="00FB529E" w:rsidP="00624A5D"/>
    <w:p w:rsidR="00FB529E" w:rsidRDefault="00FB529E" w:rsidP="00624A5D"/>
    <w:p w:rsidR="00FB529E" w:rsidRDefault="00FB529E" w:rsidP="00624A5D"/>
    <w:p w:rsidR="00FB529E" w:rsidRDefault="00FB529E" w:rsidP="00624A5D"/>
    <w:p w:rsidR="00FB529E" w:rsidRDefault="00FB529E" w:rsidP="00624A5D"/>
    <w:p w:rsidR="00FB529E" w:rsidRDefault="00FB529E" w:rsidP="00624A5D"/>
    <w:p w:rsidR="00FB529E" w:rsidRPr="00277F3D" w:rsidRDefault="00FB529E" w:rsidP="00624A5D"/>
    <w:p w:rsidR="00FB529E" w:rsidRPr="00AF641B" w:rsidRDefault="00FB529E" w:rsidP="00624A5D">
      <w:pPr>
        <w:rPr>
          <w:color w:val="2B5395"/>
        </w:rPr>
      </w:pPr>
    </w:p>
    <w:p w:rsidR="00FB529E" w:rsidRPr="00AF641B" w:rsidRDefault="00FB529E" w:rsidP="00955928">
      <w:pPr>
        <w:ind w:left="1418"/>
        <w:rPr>
          <w:color w:val="2B5395"/>
          <w:sz w:val="28"/>
          <w:szCs w:val="28"/>
        </w:rPr>
      </w:pPr>
      <w:r w:rsidRPr="00AF641B">
        <w:rPr>
          <w:color w:val="2B5395"/>
          <w:sz w:val="28"/>
          <w:szCs w:val="28"/>
        </w:rPr>
        <w:t>Submission by:</w:t>
      </w:r>
    </w:p>
    <w:p w:rsidR="00FB529E" w:rsidRPr="00AF641B" w:rsidRDefault="00FB529E" w:rsidP="00955928">
      <w:pPr>
        <w:ind w:left="1418"/>
        <w:rPr>
          <w:b/>
          <w:color w:val="2B5395"/>
          <w:sz w:val="36"/>
          <w:szCs w:val="36"/>
        </w:rPr>
      </w:pPr>
      <w:r w:rsidRPr="00AF641B">
        <w:rPr>
          <w:b/>
          <w:color w:val="2B5395"/>
          <w:sz w:val="36"/>
          <w:szCs w:val="36"/>
        </w:rPr>
        <w:t>THE IRISH HOSPITAL CONSULTANTS ASSOCIATION</w:t>
      </w:r>
    </w:p>
    <w:p w:rsidR="00FB529E" w:rsidRPr="00AF641B" w:rsidRDefault="00FB529E" w:rsidP="00955928">
      <w:pPr>
        <w:ind w:left="1418"/>
        <w:rPr>
          <w:color w:val="2B5395"/>
          <w:sz w:val="20"/>
          <w:szCs w:val="20"/>
        </w:rPr>
      </w:pPr>
      <w:r w:rsidRPr="00AF641B">
        <w:rPr>
          <w:color w:val="2B5395"/>
          <w:sz w:val="20"/>
          <w:szCs w:val="20"/>
        </w:rPr>
        <w:t xml:space="preserve">HERITAGE HOUSE, </w:t>
      </w:r>
      <w:r w:rsidRPr="00AF641B">
        <w:rPr>
          <w:color w:val="2B5395"/>
          <w:sz w:val="20"/>
          <w:szCs w:val="20"/>
        </w:rPr>
        <w:tab/>
      </w:r>
      <w:r w:rsidRPr="00AF641B">
        <w:rPr>
          <w:color w:val="2B5395"/>
          <w:sz w:val="20"/>
          <w:szCs w:val="20"/>
        </w:rPr>
        <w:tab/>
      </w:r>
      <w:r w:rsidRPr="00AF641B">
        <w:rPr>
          <w:color w:val="2B5395"/>
          <w:sz w:val="20"/>
          <w:szCs w:val="20"/>
        </w:rPr>
        <w:tab/>
      </w:r>
      <w:r w:rsidRPr="00AF641B">
        <w:rPr>
          <w:color w:val="2B5395"/>
          <w:sz w:val="20"/>
          <w:szCs w:val="20"/>
        </w:rPr>
        <w:tab/>
      </w:r>
      <w:r w:rsidRPr="00AF641B">
        <w:rPr>
          <w:color w:val="2B5395"/>
          <w:sz w:val="20"/>
          <w:szCs w:val="20"/>
        </w:rPr>
        <w:tab/>
        <w:t xml:space="preserve">TELEPHONE:  </w:t>
      </w:r>
      <w:r w:rsidRPr="00AF641B">
        <w:rPr>
          <w:color w:val="2B5395"/>
          <w:sz w:val="20"/>
          <w:szCs w:val="20"/>
        </w:rPr>
        <w:tab/>
        <w:t>01 2989123</w:t>
      </w:r>
    </w:p>
    <w:p w:rsidR="00FB529E" w:rsidRPr="00AF641B" w:rsidRDefault="00FB529E" w:rsidP="00955928">
      <w:pPr>
        <w:ind w:left="1418"/>
        <w:rPr>
          <w:color w:val="2B5395"/>
          <w:sz w:val="20"/>
          <w:szCs w:val="20"/>
        </w:rPr>
      </w:pPr>
      <w:r w:rsidRPr="00AF641B">
        <w:rPr>
          <w:color w:val="2B5395"/>
          <w:sz w:val="20"/>
          <w:szCs w:val="20"/>
        </w:rPr>
        <w:t>DUNDRUM OFFICE PARK</w:t>
      </w:r>
      <w:r w:rsidRPr="00AF641B">
        <w:rPr>
          <w:color w:val="2B5395"/>
          <w:sz w:val="20"/>
          <w:szCs w:val="20"/>
        </w:rPr>
        <w:tab/>
      </w:r>
      <w:r w:rsidRPr="00AF641B">
        <w:rPr>
          <w:color w:val="2B5395"/>
          <w:sz w:val="20"/>
          <w:szCs w:val="20"/>
        </w:rPr>
        <w:tab/>
      </w:r>
      <w:r w:rsidRPr="00AF641B">
        <w:rPr>
          <w:color w:val="2B5395"/>
          <w:sz w:val="20"/>
          <w:szCs w:val="20"/>
        </w:rPr>
        <w:tab/>
      </w:r>
      <w:r w:rsidRPr="00AF641B">
        <w:rPr>
          <w:color w:val="2B5395"/>
          <w:sz w:val="20"/>
          <w:szCs w:val="20"/>
        </w:rPr>
        <w:tab/>
      </w:r>
      <w:r w:rsidRPr="00AF641B">
        <w:rPr>
          <w:color w:val="2B5395"/>
          <w:sz w:val="20"/>
          <w:szCs w:val="20"/>
        </w:rPr>
        <w:tab/>
        <w:t>FAX:</w:t>
      </w:r>
      <w:r w:rsidRPr="00AF641B">
        <w:rPr>
          <w:color w:val="2B5395"/>
          <w:sz w:val="20"/>
          <w:szCs w:val="20"/>
        </w:rPr>
        <w:tab/>
      </w:r>
      <w:r w:rsidRPr="00AF641B">
        <w:rPr>
          <w:color w:val="2B5395"/>
          <w:sz w:val="20"/>
          <w:szCs w:val="20"/>
        </w:rPr>
        <w:tab/>
        <w:t>01 2989395</w:t>
      </w:r>
    </w:p>
    <w:p w:rsidR="00FB529E" w:rsidRPr="00AF641B" w:rsidRDefault="00FB529E" w:rsidP="00955928">
      <w:pPr>
        <w:ind w:left="1418"/>
        <w:rPr>
          <w:color w:val="2B5395"/>
          <w:sz w:val="20"/>
          <w:szCs w:val="20"/>
        </w:rPr>
      </w:pPr>
      <w:r w:rsidRPr="00AF641B">
        <w:rPr>
          <w:color w:val="2B5395"/>
          <w:sz w:val="20"/>
          <w:szCs w:val="20"/>
        </w:rPr>
        <w:t xml:space="preserve">DUNDRUM </w:t>
      </w:r>
      <w:r w:rsidRPr="00AF641B">
        <w:rPr>
          <w:color w:val="2B5395"/>
          <w:sz w:val="20"/>
          <w:szCs w:val="20"/>
        </w:rPr>
        <w:tab/>
      </w:r>
      <w:r w:rsidRPr="00AF641B">
        <w:rPr>
          <w:color w:val="2B5395"/>
          <w:sz w:val="20"/>
          <w:szCs w:val="20"/>
        </w:rPr>
        <w:tab/>
      </w:r>
      <w:r w:rsidRPr="00AF641B">
        <w:rPr>
          <w:color w:val="2B5395"/>
          <w:sz w:val="20"/>
          <w:szCs w:val="20"/>
        </w:rPr>
        <w:tab/>
      </w:r>
      <w:r w:rsidRPr="00AF641B">
        <w:rPr>
          <w:color w:val="2B5395"/>
          <w:sz w:val="20"/>
          <w:szCs w:val="20"/>
        </w:rPr>
        <w:tab/>
      </w:r>
      <w:r w:rsidRPr="00AF641B">
        <w:rPr>
          <w:color w:val="2B5395"/>
          <w:sz w:val="20"/>
          <w:szCs w:val="20"/>
        </w:rPr>
        <w:tab/>
      </w:r>
      <w:r w:rsidRPr="00AF641B">
        <w:rPr>
          <w:color w:val="2B5395"/>
          <w:sz w:val="20"/>
          <w:szCs w:val="20"/>
        </w:rPr>
        <w:tab/>
        <w:t>E-MAIL:</w:t>
      </w:r>
      <w:r w:rsidRPr="00AF641B">
        <w:rPr>
          <w:color w:val="2B5395"/>
          <w:sz w:val="20"/>
          <w:szCs w:val="20"/>
        </w:rPr>
        <w:tab/>
      </w:r>
      <w:r w:rsidRPr="00AF641B">
        <w:rPr>
          <w:color w:val="2B5395"/>
          <w:sz w:val="20"/>
          <w:szCs w:val="20"/>
        </w:rPr>
        <w:tab/>
        <w:t>info@ihca.ie</w:t>
      </w:r>
    </w:p>
    <w:p w:rsidR="00FB529E" w:rsidRPr="00AF641B" w:rsidRDefault="00FB529E" w:rsidP="00955928">
      <w:pPr>
        <w:ind w:left="1418"/>
        <w:rPr>
          <w:color w:val="2B5395"/>
          <w:sz w:val="20"/>
          <w:szCs w:val="20"/>
        </w:rPr>
      </w:pPr>
      <w:r w:rsidRPr="00AF641B">
        <w:rPr>
          <w:color w:val="2B5395"/>
          <w:sz w:val="20"/>
          <w:szCs w:val="20"/>
        </w:rPr>
        <w:t>DUBLIN 14</w:t>
      </w:r>
      <w:r w:rsidRPr="00AF641B">
        <w:rPr>
          <w:color w:val="2B5395"/>
          <w:sz w:val="20"/>
          <w:szCs w:val="20"/>
        </w:rPr>
        <w:tab/>
      </w:r>
      <w:r w:rsidRPr="00AF641B">
        <w:rPr>
          <w:color w:val="2B5395"/>
          <w:sz w:val="20"/>
          <w:szCs w:val="20"/>
        </w:rPr>
        <w:tab/>
      </w:r>
      <w:r w:rsidRPr="00AF641B">
        <w:rPr>
          <w:color w:val="2B5395"/>
          <w:sz w:val="20"/>
          <w:szCs w:val="20"/>
        </w:rPr>
        <w:tab/>
      </w:r>
      <w:r w:rsidRPr="00AF641B">
        <w:rPr>
          <w:color w:val="2B5395"/>
          <w:sz w:val="20"/>
          <w:szCs w:val="20"/>
        </w:rPr>
        <w:tab/>
      </w:r>
      <w:r w:rsidRPr="00AF641B">
        <w:rPr>
          <w:color w:val="2B5395"/>
          <w:sz w:val="20"/>
          <w:szCs w:val="20"/>
        </w:rPr>
        <w:tab/>
      </w:r>
      <w:r w:rsidRPr="00AF641B">
        <w:rPr>
          <w:color w:val="2B5395"/>
          <w:sz w:val="20"/>
          <w:szCs w:val="20"/>
        </w:rPr>
        <w:tab/>
        <w:t>WEB:</w:t>
      </w:r>
      <w:r w:rsidRPr="00AF641B">
        <w:rPr>
          <w:color w:val="2B5395"/>
          <w:sz w:val="20"/>
          <w:szCs w:val="20"/>
        </w:rPr>
        <w:tab/>
      </w:r>
      <w:r w:rsidRPr="00AF641B">
        <w:rPr>
          <w:color w:val="2B5395"/>
          <w:sz w:val="20"/>
          <w:szCs w:val="20"/>
        </w:rPr>
        <w:tab/>
        <w:t>www.ihca.ie</w:t>
      </w:r>
    </w:p>
    <w:p w:rsidR="00FB529E" w:rsidRDefault="00FB529E" w:rsidP="00955928">
      <w:pPr>
        <w:pStyle w:val="Heading2"/>
        <w:ind w:left="1418"/>
        <w:jc w:val="left"/>
        <w:rPr>
          <w:color w:val="auto"/>
          <w:sz w:val="28"/>
          <w:szCs w:val="28"/>
        </w:rPr>
      </w:pPr>
    </w:p>
    <w:p w:rsidR="00FB529E" w:rsidRPr="00102F1C" w:rsidRDefault="00FB529E" w:rsidP="00102F1C">
      <w:pPr>
        <w:rPr>
          <w:sz w:val="28"/>
          <w:szCs w:val="28"/>
          <w:lang w:val="en-GB"/>
        </w:rPr>
      </w:pPr>
      <w:r>
        <w:br w:type="page"/>
      </w:r>
      <w:r w:rsidRPr="00102F1C">
        <w:rPr>
          <w:sz w:val="28"/>
          <w:szCs w:val="28"/>
        </w:rPr>
        <w:lastRenderedPageBreak/>
        <w:t>Contents</w:t>
      </w:r>
    </w:p>
    <w:p w:rsidR="00FB529E" w:rsidRPr="00411CAA" w:rsidRDefault="00FB529E">
      <w:pPr>
        <w:rPr>
          <w:sz w:val="20"/>
          <w:szCs w:val="20"/>
        </w:rPr>
      </w:pPr>
    </w:p>
    <w:p w:rsidR="00FB529E" w:rsidRDefault="00FB529E">
      <w:pPr>
        <w:pStyle w:val="TOC1"/>
        <w:tabs>
          <w:tab w:val="right" w:leader="dot" w:pos="9350"/>
        </w:tabs>
        <w:rPr>
          <w:noProof/>
        </w:rPr>
      </w:pPr>
      <w:r>
        <w:rPr>
          <w:sz w:val="20"/>
          <w:szCs w:val="20"/>
        </w:rPr>
        <w:fldChar w:fldCharType="begin"/>
      </w:r>
      <w:r>
        <w:rPr>
          <w:sz w:val="20"/>
          <w:szCs w:val="20"/>
        </w:rPr>
        <w:instrText xml:space="preserve"> TOC \h \z \t "Style2,1,Style3,1" </w:instrText>
      </w:r>
      <w:r>
        <w:rPr>
          <w:sz w:val="20"/>
          <w:szCs w:val="20"/>
        </w:rPr>
        <w:fldChar w:fldCharType="separate"/>
      </w:r>
      <w:hyperlink w:anchor="_Toc393875678" w:history="1">
        <w:r w:rsidRPr="007F7FC5">
          <w:rPr>
            <w:rStyle w:val="Hyperlink"/>
            <w:noProof/>
          </w:rPr>
          <w:t>Summary</w:t>
        </w:r>
        <w:r>
          <w:rPr>
            <w:noProof/>
            <w:webHidden/>
          </w:rPr>
          <w:tab/>
        </w:r>
        <w:r>
          <w:rPr>
            <w:noProof/>
            <w:webHidden/>
          </w:rPr>
          <w:fldChar w:fldCharType="begin"/>
        </w:r>
        <w:r>
          <w:rPr>
            <w:noProof/>
            <w:webHidden/>
          </w:rPr>
          <w:instrText xml:space="preserve"> PAGEREF _Toc393875678 \h </w:instrText>
        </w:r>
        <w:r>
          <w:rPr>
            <w:noProof/>
            <w:webHidden/>
          </w:rPr>
        </w:r>
        <w:r>
          <w:rPr>
            <w:noProof/>
            <w:webHidden/>
          </w:rPr>
          <w:fldChar w:fldCharType="separate"/>
        </w:r>
        <w:r>
          <w:rPr>
            <w:noProof/>
            <w:webHidden/>
          </w:rPr>
          <w:t>3</w:t>
        </w:r>
        <w:r>
          <w:rPr>
            <w:noProof/>
            <w:webHidden/>
          </w:rPr>
          <w:fldChar w:fldCharType="end"/>
        </w:r>
      </w:hyperlink>
    </w:p>
    <w:p w:rsidR="00FB529E" w:rsidRDefault="00FB529E">
      <w:pPr>
        <w:pStyle w:val="TOC1"/>
        <w:tabs>
          <w:tab w:val="left" w:pos="440"/>
          <w:tab w:val="right" w:leader="dot" w:pos="9350"/>
        </w:tabs>
        <w:rPr>
          <w:noProof/>
        </w:rPr>
      </w:pPr>
      <w:hyperlink w:anchor="_Toc393875679" w:history="1">
        <w:r w:rsidRPr="007F7FC5">
          <w:rPr>
            <w:rStyle w:val="Hyperlink"/>
            <w:noProof/>
          </w:rPr>
          <w:t>1.</w:t>
        </w:r>
        <w:r>
          <w:rPr>
            <w:noProof/>
          </w:rPr>
          <w:tab/>
        </w:r>
        <w:r w:rsidRPr="007F7FC5">
          <w:rPr>
            <w:rStyle w:val="Hyperlink"/>
            <w:noProof/>
          </w:rPr>
          <w:t>Introduction</w:t>
        </w:r>
        <w:r>
          <w:rPr>
            <w:noProof/>
            <w:webHidden/>
          </w:rPr>
          <w:tab/>
        </w:r>
        <w:r>
          <w:rPr>
            <w:noProof/>
            <w:webHidden/>
          </w:rPr>
          <w:fldChar w:fldCharType="begin"/>
        </w:r>
        <w:r>
          <w:rPr>
            <w:noProof/>
            <w:webHidden/>
          </w:rPr>
          <w:instrText xml:space="preserve"> PAGEREF _Toc393875679 \h </w:instrText>
        </w:r>
        <w:r>
          <w:rPr>
            <w:noProof/>
            <w:webHidden/>
          </w:rPr>
        </w:r>
        <w:r>
          <w:rPr>
            <w:noProof/>
            <w:webHidden/>
          </w:rPr>
          <w:fldChar w:fldCharType="separate"/>
        </w:r>
        <w:r>
          <w:rPr>
            <w:noProof/>
            <w:webHidden/>
          </w:rPr>
          <w:t>4</w:t>
        </w:r>
        <w:r>
          <w:rPr>
            <w:noProof/>
            <w:webHidden/>
          </w:rPr>
          <w:fldChar w:fldCharType="end"/>
        </w:r>
      </w:hyperlink>
    </w:p>
    <w:p w:rsidR="00FB529E" w:rsidRDefault="00FB529E">
      <w:pPr>
        <w:pStyle w:val="TOC1"/>
        <w:tabs>
          <w:tab w:val="left" w:pos="440"/>
          <w:tab w:val="right" w:leader="dot" w:pos="9350"/>
        </w:tabs>
        <w:rPr>
          <w:noProof/>
        </w:rPr>
      </w:pPr>
      <w:hyperlink w:anchor="_Toc393875680" w:history="1">
        <w:r w:rsidRPr="007F7FC5">
          <w:rPr>
            <w:rStyle w:val="Hyperlink"/>
            <w:noProof/>
          </w:rPr>
          <w:t>2.</w:t>
        </w:r>
        <w:r>
          <w:rPr>
            <w:noProof/>
          </w:rPr>
          <w:tab/>
        </w:r>
        <w:r w:rsidRPr="007F7FC5">
          <w:rPr>
            <w:rStyle w:val="Hyperlink"/>
            <w:noProof/>
          </w:rPr>
          <w:t>Increased Frontline Acute Hospital Resources Required</w:t>
        </w:r>
        <w:r>
          <w:rPr>
            <w:noProof/>
            <w:webHidden/>
          </w:rPr>
          <w:tab/>
        </w:r>
        <w:r>
          <w:rPr>
            <w:noProof/>
            <w:webHidden/>
          </w:rPr>
          <w:fldChar w:fldCharType="begin"/>
        </w:r>
        <w:r>
          <w:rPr>
            <w:noProof/>
            <w:webHidden/>
          </w:rPr>
          <w:instrText xml:space="preserve"> PAGEREF _Toc393875680 \h </w:instrText>
        </w:r>
        <w:r>
          <w:rPr>
            <w:noProof/>
            <w:webHidden/>
          </w:rPr>
        </w:r>
        <w:r>
          <w:rPr>
            <w:noProof/>
            <w:webHidden/>
          </w:rPr>
          <w:fldChar w:fldCharType="separate"/>
        </w:r>
        <w:r>
          <w:rPr>
            <w:noProof/>
            <w:webHidden/>
          </w:rPr>
          <w:t>4</w:t>
        </w:r>
        <w:r>
          <w:rPr>
            <w:noProof/>
            <w:webHidden/>
          </w:rPr>
          <w:fldChar w:fldCharType="end"/>
        </w:r>
      </w:hyperlink>
    </w:p>
    <w:p w:rsidR="00FB529E" w:rsidRDefault="00FB529E">
      <w:pPr>
        <w:pStyle w:val="TOC1"/>
        <w:tabs>
          <w:tab w:val="left" w:pos="440"/>
          <w:tab w:val="right" w:leader="dot" w:pos="9350"/>
        </w:tabs>
        <w:rPr>
          <w:noProof/>
        </w:rPr>
      </w:pPr>
      <w:hyperlink w:anchor="_Toc393875681" w:history="1">
        <w:r w:rsidRPr="007F7FC5">
          <w:rPr>
            <w:rStyle w:val="Hyperlink"/>
            <w:noProof/>
          </w:rPr>
          <w:t>3.</w:t>
        </w:r>
        <w:r>
          <w:rPr>
            <w:noProof/>
          </w:rPr>
          <w:tab/>
        </w:r>
        <w:r w:rsidRPr="007F7FC5">
          <w:rPr>
            <w:rStyle w:val="Hyperlink"/>
            <w:noProof/>
          </w:rPr>
          <w:t>Patient Demand for Acute Hospital Care continues to exceed NSP targets.</w:t>
        </w:r>
        <w:r>
          <w:rPr>
            <w:noProof/>
            <w:webHidden/>
          </w:rPr>
          <w:tab/>
        </w:r>
        <w:r>
          <w:rPr>
            <w:noProof/>
            <w:webHidden/>
          </w:rPr>
          <w:fldChar w:fldCharType="begin"/>
        </w:r>
        <w:r>
          <w:rPr>
            <w:noProof/>
            <w:webHidden/>
          </w:rPr>
          <w:instrText xml:space="preserve"> PAGEREF _Toc393875681 \h </w:instrText>
        </w:r>
        <w:r>
          <w:rPr>
            <w:noProof/>
            <w:webHidden/>
          </w:rPr>
        </w:r>
        <w:r>
          <w:rPr>
            <w:noProof/>
            <w:webHidden/>
          </w:rPr>
          <w:fldChar w:fldCharType="separate"/>
        </w:r>
        <w:r>
          <w:rPr>
            <w:noProof/>
            <w:webHidden/>
          </w:rPr>
          <w:t>8</w:t>
        </w:r>
        <w:r>
          <w:rPr>
            <w:noProof/>
            <w:webHidden/>
          </w:rPr>
          <w:fldChar w:fldCharType="end"/>
        </w:r>
      </w:hyperlink>
    </w:p>
    <w:p w:rsidR="00FB529E" w:rsidRDefault="00FB529E">
      <w:pPr>
        <w:pStyle w:val="TOC1"/>
        <w:tabs>
          <w:tab w:val="left" w:pos="440"/>
          <w:tab w:val="right" w:leader="dot" w:pos="9350"/>
        </w:tabs>
        <w:rPr>
          <w:noProof/>
        </w:rPr>
      </w:pPr>
      <w:hyperlink w:anchor="_Toc393875682" w:history="1">
        <w:r w:rsidRPr="007F7FC5">
          <w:rPr>
            <w:rStyle w:val="Hyperlink"/>
            <w:noProof/>
          </w:rPr>
          <w:t>4.</w:t>
        </w:r>
        <w:r>
          <w:rPr>
            <w:noProof/>
          </w:rPr>
          <w:tab/>
        </w:r>
        <w:r w:rsidRPr="007F7FC5">
          <w:rPr>
            <w:rStyle w:val="Hyperlink"/>
            <w:noProof/>
          </w:rPr>
          <w:t>Waiting Lists.</w:t>
        </w:r>
        <w:r>
          <w:rPr>
            <w:noProof/>
            <w:webHidden/>
          </w:rPr>
          <w:tab/>
        </w:r>
        <w:r>
          <w:rPr>
            <w:noProof/>
            <w:webHidden/>
          </w:rPr>
          <w:fldChar w:fldCharType="begin"/>
        </w:r>
        <w:r>
          <w:rPr>
            <w:noProof/>
            <w:webHidden/>
          </w:rPr>
          <w:instrText xml:space="preserve"> PAGEREF _Toc393875682 \h </w:instrText>
        </w:r>
        <w:r>
          <w:rPr>
            <w:noProof/>
            <w:webHidden/>
          </w:rPr>
        </w:r>
        <w:r>
          <w:rPr>
            <w:noProof/>
            <w:webHidden/>
          </w:rPr>
          <w:fldChar w:fldCharType="separate"/>
        </w:r>
        <w:r>
          <w:rPr>
            <w:noProof/>
            <w:webHidden/>
          </w:rPr>
          <w:t>10</w:t>
        </w:r>
        <w:r>
          <w:rPr>
            <w:noProof/>
            <w:webHidden/>
          </w:rPr>
          <w:fldChar w:fldCharType="end"/>
        </w:r>
      </w:hyperlink>
    </w:p>
    <w:p w:rsidR="00FB529E" w:rsidRDefault="00FB529E">
      <w:pPr>
        <w:pStyle w:val="TOC1"/>
        <w:tabs>
          <w:tab w:val="left" w:pos="440"/>
          <w:tab w:val="right" w:leader="dot" w:pos="9350"/>
        </w:tabs>
        <w:rPr>
          <w:noProof/>
        </w:rPr>
      </w:pPr>
      <w:hyperlink w:anchor="_Toc393875683" w:history="1">
        <w:r w:rsidRPr="007F7FC5">
          <w:rPr>
            <w:rStyle w:val="Hyperlink"/>
            <w:noProof/>
          </w:rPr>
          <w:t>5.</w:t>
        </w:r>
        <w:r>
          <w:rPr>
            <w:noProof/>
          </w:rPr>
          <w:tab/>
        </w:r>
        <w:r w:rsidRPr="007F7FC5">
          <w:rPr>
            <w:rStyle w:val="Hyperlink"/>
            <w:noProof/>
          </w:rPr>
          <w:t>Health Insurance</w:t>
        </w:r>
        <w:r>
          <w:rPr>
            <w:noProof/>
            <w:webHidden/>
          </w:rPr>
          <w:tab/>
        </w:r>
        <w:r>
          <w:rPr>
            <w:noProof/>
            <w:webHidden/>
          </w:rPr>
          <w:fldChar w:fldCharType="begin"/>
        </w:r>
        <w:r>
          <w:rPr>
            <w:noProof/>
            <w:webHidden/>
          </w:rPr>
          <w:instrText xml:space="preserve"> PAGEREF _Toc393875683 \h </w:instrText>
        </w:r>
        <w:r>
          <w:rPr>
            <w:noProof/>
            <w:webHidden/>
          </w:rPr>
        </w:r>
        <w:r>
          <w:rPr>
            <w:noProof/>
            <w:webHidden/>
          </w:rPr>
          <w:fldChar w:fldCharType="separate"/>
        </w:r>
        <w:r>
          <w:rPr>
            <w:noProof/>
            <w:webHidden/>
          </w:rPr>
          <w:t>14</w:t>
        </w:r>
        <w:r>
          <w:rPr>
            <w:noProof/>
            <w:webHidden/>
          </w:rPr>
          <w:fldChar w:fldCharType="end"/>
        </w:r>
      </w:hyperlink>
    </w:p>
    <w:p w:rsidR="00FB529E" w:rsidRDefault="00FB529E">
      <w:pPr>
        <w:pStyle w:val="TOC1"/>
        <w:tabs>
          <w:tab w:val="left" w:pos="440"/>
          <w:tab w:val="right" w:leader="dot" w:pos="9350"/>
        </w:tabs>
        <w:rPr>
          <w:noProof/>
        </w:rPr>
      </w:pPr>
      <w:hyperlink w:anchor="_Toc393875684" w:history="1">
        <w:r w:rsidRPr="007F7FC5">
          <w:rPr>
            <w:rStyle w:val="Hyperlink"/>
            <w:noProof/>
          </w:rPr>
          <w:t>6.</w:t>
        </w:r>
        <w:r>
          <w:rPr>
            <w:noProof/>
          </w:rPr>
          <w:tab/>
        </w:r>
        <w:r w:rsidRPr="007F7FC5">
          <w:rPr>
            <w:rStyle w:val="Hyperlink"/>
            <w:noProof/>
            <w:lang w:val="en-IE"/>
          </w:rPr>
          <w:t>M</w:t>
        </w:r>
        <w:r w:rsidRPr="007F7FC5">
          <w:rPr>
            <w:rStyle w:val="Hyperlink"/>
            <w:noProof/>
          </w:rPr>
          <w:t>ental Health Funding</w:t>
        </w:r>
        <w:r>
          <w:rPr>
            <w:noProof/>
            <w:webHidden/>
          </w:rPr>
          <w:tab/>
        </w:r>
        <w:r>
          <w:rPr>
            <w:noProof/>
            <w:webHidden/>
          </w:rPr>
          <w:fldChar w:fldCharType="begin"/>
        </w:r>
        <w:r>
          <w:rPr>
            <w:noProof/>
            <w:webHidden/>
          </w:rPr>
          <w:instrText xml:space="preserve"> PAGEREF _Toc393875684 \h </w:instrText>
        </w:r>
        <w:r>
          <w:rPr>
            <w:noProof/>
            <w:webHidden/>
          </w:rPr>
        </w:r>
        <w:r>
          <w:rPr>
            <w:noProof/>
            <w:webHidden/>
          </w:rPr>
          <w:fldChar w:fldCharType="separate"/>
        </w:r>
        <w:r>
          <w:rPr>
            <w:noProof/>
            <w:webHidden/>
          </w:rPr>
          <w:t>14</w:t>
        </w:r>
        <w:r>
          <w:rPr>
            <w:noProof/>
            <w:webHidden/>
          </w:rPr>
          <w:fldChar w:fldCharType="end"/>
        </w:r>
      </w:hyperlink>
    </w:p>
    <w:p w:rsidR="00FB529E" w:rsidRDefault="00FB529E">
      <w:pPr>
        <w:pStyle w:val="TOC1"/>
        <w:tabs>
          <w:tab w:val="left" w:pos="440"/>
          <w:tab w:val="right" w:leader="dot" w:pos="9350"/>
        </w:tabs>
        <w:rPr>
          <w:noProof/>
        </w:rPr>
      </w:pPr>
      <w:hyperlink w:anchor="_Toc393875685" w:history="1">
        <w:r w:rsidRPr="007F7FC5">
          <w:rPr>
            <w:rStyle w:val="Hyperlink"/>
            <w:noProof/>
          </w:rPr>
          <w:t>7.</w:t>
        </w:r>
        <w:r>
          <w:rPr>
            <w:noProof/>
          </w:rPr>
          <w:tab/>
        </w:r>
        <w:r w:rsidRPr="007F7FC5">
          <w:rPr>
            <w:rStyle w:val="Hyperlink"/>
            <w:noProof/>
          </w:rPr>
          <w:t>Staffing Issues.</w:t>
        </w:r>
        <w:r>
          <w:rPr>
            <w:noProof/>
            <w:webHidden/>
          </w:rPr>
          <w:tab/>
        </w:r>
        <w:r>
          <w:rPr>
            <w:noProof/>
            <w:webHidden/>
          </w:rPr>
          <w:fldChar w:fldCharType="begin"/>
        </w:r>
        <w:r>
          <w:rPr>
            <w:noProof/>
            <w:webHidden/>
          </w:rPr>
          <w:instrText xml:space="preserve"> PAGEREF _Toc393875685 \h </w:instrText>
        </w:r>
        <w:r>
          <w:rPr>
            <w:noProof/>
            <w:webHidden/>
          </w:rPr>
        </w:r>
        <w:r>
          <w:rPr>
            <w:noProof/>
            <w:webHidden/>
          </w:rPr>
          <w:fldChar w:fldCharType="separate"/>
        </w:r>
        <w:r>
          <w:rPr>
            <w:noProof/>
            <w:webHidden/>
          </w:rPr>
          <w:t>15</w:t>
        </w:r>
        <w:r>
          <w:rPr>
            <w:noProof/>
            <w:webHidden/>
          </w:rPr>
          <w:fldChar w:fldCharType="end"/>
        </w:r>
      </w:hyperlink>
    </w:p>
    <w:p w:rsidR="00FB529E" w:rsidRDefault="00FB529E">
      <w:pPr>
        <w:pStyle w:val="TOC1"/>
        <w:tabs>
          <w:tab w:val="left" w:pos="440"/>
          <w:tab w:val="right" w:leader="dot" w:pos="9350"/>
        </w:tabs>
        <w:rPr>
          <w:noProof/>
        </w:rPr>
      </w:pPr>
      <w:hyperlink w:anchor="_Toc393875686" w:history="1">
        <w:r w:rsidRPr="007F7FC5">
          <w:rPr>
            <w:rStyle w:val="Hyperlink"/>
            <w:noProof/>
          </w:rPr>
          <w:t>8.</w:t>
        </w:r>
        <w:r>
          <w:rPr>
            <w:noProof/>
          </w:rPr>
          <w:tab/>
        </w:r>
        <w:r w:rsidRPr="007F7FC5">
          <w:rPr>
            <w:rStyle w:val="Hyperlink"/>
            <w:noProof/>
          </w:rPr>
          <w:t>Conclusion</w:t>
        </w:r>
        <w:r>
          <w:rPr>
            <w:noProof/>
            <w:webHidden/>
          </w:rPr>
          <w:tab/>
        </w:r>
        <w:r>
          <w:rPr>
            <w:noProof/>
            <w:webHidden/>
          </w:rPr>
          <w:fldChar w:fldCharType="begin"/>
        </w:r>
        <w:r>
          <w:rPr>
            <w:noProof/>
            <w:webHidden/>
          </w:rPr>
          <w:instrText xml:space="preserve"> PAGEREF _Toc393875686 \h </w:instrText>
        </w:r>
        <w:r>
          <w:rPr>
            <w:noProof/>
            <w:webHidden/>
          </w:rPr>
        </w:r>
        <w:r>
          <w:rPr>
            <w:noProof/>
            <w:webHidden/>
          </w:rPr>
          <w:fldChar w:fldCharType="separate"/>
        </w:r>
        <w:r>
          <w:rPr>
            <w:noProof/>
            <w:webHidden/>
          </w:rPr>
          <w:t>15</w:t>
        </w:r>
        <w:r>
          <w:rPr>
            <w:noProof/>
            <w:webHidden/>
          </w:rPr>
          <w:fldChar w:fldCharType="end"/>
        </w:r>
      </w:hyperlink>
    </w:p>
    <w:p w:rsidR="00FB529E" w:rsidRPr="00411CAA" w:rsidRDefault="00FB529E" w:rsidP="007773E2">
      <w:pPr>
        <w:rPr>
          <w:sz w:val="20"/>
          <w:szCs w:val="20"/>
        </w:rPr>
      </w:pPr>
      <w:r>
        <w:rPr>
          <w:sz w:val="20"/>
          <w:szCs w:val="20"/>
        </w:rPr>
        <w:fldChar w:fldCharType="end"/>
      </w:r>
    </w:p>
    <w:p w:rsidR="00FB529E" w:rsidRPr="00411CAA" w:rsidRDefault="00FB529E" w:rsidP="007773E2">
      <w:pPr>
        <w:rPr>
          <w:sz w:val="20"/>
          <w:szCs w:val="20"/>
        </w:rPr>
      </w:pPr>
      <w:r w:rsidRPr="00411CAA">
        <w:rPr>
          <w:sz w:val="20"/>
          <w:szCs w:val="20"/>
        </w:rPr>
        <w:br w:type="page"/>
      </w:r>
    </w:p>
    <w:p w:rsidR="00FB529E" w:rsidRPr="00102F1C" w:rsidRDefault="00FB529E" w:rsidP="00602E23">
      <w:pPr>
        <w:pStyle w:val="Style2"/>
      </w:pPr>
      <w:bookmarkStart w:id="2" w:name="_Toc393724535"/>
      <w:bookmarkStart w:id="3" w:name="_Toc393875678"/>
      <w:r w:rsidRPr="00102F1C">
        <w:lastRenderedPageBreak/>
        <w:t>Summary</w:t>
      </w:r>
      <w:bookmarkEnd w:id="2"/>
      <w:bookmarkEnd w:id="3"/>
    </w:p>
    <w:p w:rsidR="00FB529E" w:rsidRPr="00411CAA" w:rsidRDefault="00FB529E" w:rsidP="00C044DC">
      <w:pPr>
        <w:rPr>
          <w:sz w:val="20"/>
          <w:szCs w:val="20"/>
        </w:rPr>
      </w:pPr>
    </w:p>
    <w:p w:rsidR="00FB529E" w:rsidRPr="00AD1790" w:rsidRDefault="00FB529E" w:rsidP="004763B3">
      <w:pPr>
        <w:shd w:val="clear" w:color="auto" w:fill="FFFFFF"/>
        <w:ind w:left="-426"/>
        <w:rPr>
          <w:b/>
        </w:rPr>
      </w:pPr>
      <w:r w:rsidRPr="00AD1790">
        <w:rPr>
          <w:b/>
        </w:rPr>
        <w:t xml:space="preserve">Increased frontline acute hospital resources required. </w:t>
      </w:r>
    </w:p>
    <w:p w:rsidR="00FB529E" w:rsidRPr="00AD1790" w:rsidRDefault="00FB529E" w:rsidP="004763B3">
      <w:pPr>
        <w:shd w:val="clear" w:color="auto" w:fill="FFFFFF"/>
      </w:pPr>
      <w:r w:rsidRPr="00AD1790">
        <w:t xml:space="preserve">There is a pressing need to increase frontline acute hospital resources in the 2015 Budget to enable the delivery of high quality, safe care to patients in contrast with the current overstretched situation. Otherwise, the delivery of care will be adversely affected leading to increased delays in treating patients and growing numbers on waiting lists. It is a major concern </w:t>
      </w:r>
      <w:r>
        <w:t xml:space="preserve">that budgets for acute hospitals have been cut to an unrealistic level such </w:t>
      </w:r>
      <w:r w:rsidRPr="00AD1790">
        <w:t>that</w:t>
      </w:r>
      <w:r>
        <w:t xml:space="preserve"> acute hospital expenditure </w:t>
      </w:r>
      <w:r w:rsidRPr="00AD1790">
        <w:t>i</w:t>
      </w:r>
      <w:r>
        <w:t>n the first five months of 2014</w:t>
      </w:r>
      <w:r w:rsidRPr="00AD1790">
        <w:t xml:space="preserve"> </w:t>
      </w:r>
      <w:r>
        <w:t xml:space="preserve">was </w:t>
      </w:r>
      <w:r w:rsidRPr="00AD1790">
        <w:t>€104.8m over budget</w:t>
      </w:r>
      <w:r>
        <w:t>.  The vast majority of hospitals are grossly underfunded with some overspent by up to 21%</w:t>
      </w:r>
      <w:r w:rsidRPr="00AD1790">
        <w:t>.  If increased resources are not provided, it will increase the risk that a growing number of patients will not be treated within a medically appropriate timeframe. Underfunding of acute hospitals is a matter that needs to be urgently addressed in the 2015 Budget.</w:t>
      </w:r>
    </w:p>
    <w:p w:rsidR="00FB529E" w:rsidRPr="00AD1790" w:rsidRDefault="00FB529E" w:rsidP="004763B3">
      <w:pPr>
        <w:shd w:val="clear" w:color="auto" w:fill="FFFFFF"/>
        <w:rPr>
          <w:b/>
        </w:rPr>
      </w:pPr>
    </w:p>
    <w:p w:rsidR="00FB529E" w:rsidRPr="00AD1790" w:rsidRDefault="00FB529E" w:rsidP="004763B3">
      <w:pPr>
        <w:pStyle w:val="ListParagraph"/>
        <w:shd w:val="clear" w:color="auto" w:fill="FFFFFF"/>
        <w:ind w:left="-426"/>
      </w:pPr>
      <w:r w:rsidRPr="00AD1790">
        <w:rPr>
          <w:b/>
        </w:rPr>
        <w:t xml:space="preserve">Patient demand for acute hospital care continues to exceed </w:t>
      </w:r>
      <w:r>
        <w:rPr>
          <w:b/>
        </w:rPr>
        <w:t>National Service Plan (</w:t>
      </w:r>
      <w:r w:rsidRPr="00AD1790">
        <w:rPr>
          <w:b/>
        </w:rPr>
        <w:t>NSP</w:t>
      </w:r>
      <w:r>
        <w:rPr>
          <w:b/>
        </w:rPr>
        <w:t>)</w:t>
      </w:r>
      <w:r w:rsidRPr="00AD1790">
        <w:rPr>
          <w:b/>
        </w:rPr>
        <w:t xml:space="preserve"> targets.</w:t>
      </w:r>
    </w:p>
    <w:p w:rsidR="00FB529E" w:rsidRPr="00AD1790" w:rsidRDefault="00FB529E" w:rsidP="004763B3">
      <w:pPr>
        <w:shd w:val="clear" w:color="auto" w:fill="FFFFFF"/>
      </w:pPr>
      <w:r w:rsidRPr="00AD1790">
        <w:t xml:space="preserve">The successive reductions in acute hospital budgets have restricted the delivery of acute services over the last number of years. The number of </w:t>
      </w:r>
      <w:r>
        <w:t xml:space="preserve">day case </w:t>
      </w:r>
      <w:r w:rsidRPr="00AD1790">
        <w:t>patients treated up to May 2014</w:t>
      </w:r>
      <w:r>
        <w:t xml:space="preserve"> has declined</w:t>
      </w:r>
      <w:r w:rsidRPr="00AD1790">
        <w:t xml:space="preserve"> by 12,500 or 3.5%</w:t>
      </w:r>
      <w:r>
        <w:t xml:space="preserve"> </w:t>
      </w:r>
      <w:r w:rsidRPr="00AD1790">
        <w:t>due to the rationing of care. Increased funding for acute hospitals is required to address the constraints applying to acute service delivery.</w:t>
      </w:r>
    </w:p>
    <w:p w:rsidR="00FB529E" w:rsidRPr="00AD1790" w:rsidRDefault="00FB529E" w:rsidP="004763B3">
      <w:pPr>
        <w:shd w:val="clear" w:color="auto" w:fill="FFFFFF"/>
        <w:tabs>
          <w:tab w:val="left" w:pos="0"/>
        </w:tabs>
      </w:pPr>
    </w:p>
    <w:p w:rsidR="00FB529E" w:rsidRPr="00AD1790" w:rsidRDefault="00FB529E" w:rsidP="006251CB">
      <w:pPr>
        <w:keepNext/>
        <w:shd w:val="clear" w:color="auto" w:fill="FFFFFF"/>
        <w:ind w:left="-425"/>
        <w:rPr>
          <w:b/>
        </w:rPr>
      </w:pPr>
      <w:r w:rsidRPr="00AD1790">
        <w:rPr>
          <w:b/>
        </w:rPr>
        <w:t>Waiting lists.</w:t>
      </w:r>
    </w:p>
    <w:p w:rsidR="00FB529E" w:rsidRPr="00AD1790" w:rsidRDefault="00FB529E" w:rsidP="00374D16">
      <w:r w:rsidRPr="00AD1790">
        <w:t xml:space="preserve">The Association strongly recommends that increased frontline resources are provided to utilise the existing bed and theatre capacity to the optimum as this is urgently required to treat the increasing numbers of patients presenting for care. The failure to transfer clinically discharged patients to step down care is the equivalent to Beaumont Hospital or University Hospital Galway being closed throughout the year every year. Closed beds and restricted access to theatre facilities and beds in operation represent an enormous loss to the health system and wider public.  </w:t>
      </w:r>
    </w:p>
    <w:p w:rsidR="00FB529E" w:rsidRPr="00AD1790" w:rsidRDefault="00FB529E" w:rsidP="006C6A5C"/>
    <w:p w:rsidR="00FB529E" w:rsidRPr="00AD1790" w:rsidRDefault="00FB529E" w:rsidP="000D6A4A">
      <w:pPr>
        <w:pStyle w:val="ListParagraph"/>
        <w:keepNext/>
        <w:shd w:val="clear" w:color="auto" w:fill="FFFFFF"/>
        <w:ind w:left="-425"/>
        <w:rPr>
          <w:b/>
        </w:rPr>
      </w:pPr>
      <w:r w:rsidRPr="00AD1790">
        <w:rPr>
          <w:b/>
        </w:rPr>
        <w:t xml:space="preserve">Health Insurance. </w:t>
      </w:r>
    </w:p>
    <w:p w:rsidR="00FB529E" w:rsidRPr="00AD1790" w:rsidRDefault="00FB529E" w:rsidP="00374D16">
      <w:pPr>
        <w:pStyle w:val="Style1"/>
        <w:tabs>
          <w:tab w:val="clear" w:pos="360"/>
        </w:tabs>
        <w:spacing w:before="0"/>
        <w:rPr>
          <w:rFonts w:ascii="Calibri" w:hAnsi="Calibri"/>
          <w:b w:val="0"/>
          <w:color w:val="auto"/>
          <w:sz w:val="22"/>
          <w:szCs w:val="22"/>
          <w:lang w:val="en-GB"/>
        </w:rPr>
      </w:pPr>
      <w:r w:rsidRPr="00AD1790">
        <w:rPr>
          <w:rFonts w:ascii="Calibri" w:hAnsi="Calibri"/>
          <w:b w:val="0"/>
          <w:color w:val="auto"/>
          <w:sz w:val="22"/>
          <w:szCs w:val="22"/>
          <w:lang w:val="en-GB"/>
        </w:rPr>
        <w:t xml:space="preserve">Given the continuing upward pressure </w:t>
      </w:r>
      <w:r>
        <w:rPr>
          <w:rFonts w:ascii="Calibri" w:hAnsi="Calibri"/>
          <w:b w:val="0"/>
          <w:color w:val="auto"/>
          <w:sz w:val="22"/>
          <w:szCs w:val="22"/>
          <w:lang w:val="en-GB"/>
        </w:rPr>
        <w:t xml:space="preserve">on the cost of </w:t>
      </w:r>
      <w:r w:rsidRPr="00AD1790">
        <w:rPr>
          <w:rFonts w:ascii="Calibri" w:hAnsi="Calibri"/>
          <w:b w:val="0"/>
          <w:color w:val="auto"/>
          <w:sz w:val="22"/>
          <w:szCs w:val="22"/>
          <w:lang w:val="en-GB"/>
        </w:rPr>
        <w:t xml:space="preserve">providing care, it is critically important that the increased cost of clinical indemnification is addressed and that tax relief on private health insurance is returned to the levels that applied prior to the 2014 budget cuts.      </w:t>
      </w:r>
    </w:p>
    <w:p w:rsidR="00FB529E" w:rsidRPr="00AD1790" w:rsidRDefault="00FB529E" w:rsidP="006251CB">
      <w:pPr>
        <w:pStyle w:val="ListParagraph"/>
        <w:shd w:val="clear" w:color="auto" w:fill="FFFFFF"/>
        <w:ind w:left="0"/>
      </w:pPr>
    </w:p>
    <w:p w:rsidR="00FB529E" w:rsidRPr="00AD1790" w:rsidRDefault="00FB529E" w:rsidP="006251CB">
      <w:pPr>
        <w:pStyle w:val="ListParagraph"/>
        <w:keepNext/>
        <w:shd w:val="clear" w:color="auto" w:fill="FFFFFF"/>
        <w:ind w:left="-425"/>
        <w:rPr>
          <w:b/>
        </w:rPr>
      </w:pPr>
      <w:r w:rsidRPr="00AD1790">
        <w:rPr>
          <w:b/>
        </w:rPr>
        <w:t xml:space="preserve">Mental Health Funding. </w:t>
      </w:r>
    </w:p>
    <w:p w:rsidR="00FB529E" w:rsidRPr="00AD1790" w:rsidRDefault="00FB529E" w:rsidP="006251CB">
      <w:pPr>
        <w:pStyle w:val="ListParagraph"/>
        <w:spacing w:before="240" w:after="200" w:line="276" w:lineRule="auto"/>
        <w:ind w:left="0"/>
      </w:pPr>
      <w:r w:rsidRPr="00AD1790">
        <w:t xml:space="preserve">The €20 million of ring fenced investment in Mental Health Services in the 2014 Budget must be used on a timely basis to recruit additional staff and improve care for patients. This funding should be increased in next year’s budget to improve staffing levels further.  </w:t>
      </w:r>
    </w:p>
    <w:p w:rsidR="00FB529E" w:rsidRPr="00AD1790" w:rsidRDefault="00FB529E" w:rsidP="006251CB">
      <w:pPr>
        <w:pStyle w:val="ListParagraph"/>
        <w:ind w:left="0"/>
      </w:pPr>
    </w:p>
    <w:p w:rsidR="00FB529E" w:rsidRPr="00AD1790" w:rsidRDefault="00FB529E" w:rsidP="004058F7">
      <w:pPr>
        <w:shd w:val="clear" w:color="auto" w:fill="FFFFFF"/>
        <w:ind w:left="-426"/>
        <w:rPr>
          <w:b/>
        </w:rPr>
      </w:pPr>
      <w:r w:rsidRPr="00AD1790">
        <w:rPr>
          <w:b/>
        </w:rPr>
        <w:t>Staffing Issues.</w:t>
      </w:r>
    </w:p>
    <w:p w:rsidR="00FB529E" w:rsidRPr="00AD1790" w:rsidRDefault="00FB529E" w:rsidP="004058F7">
      <w:pPr>
        <w:shd w:val="clear" w:color="auto" w:fill="FFFFFF"/>
        <w:rPr>
          <w:lang w:val="en-GB"/>
        </w:rPr>
      </w:pPr>
      <w:r w:rsidRPr="00AD1790">
        <w:t>It is essential that the Consultant recruitment and retention crisis that is causing a medical brain drain is addressed urgently. The unilateral 30% cut in new Consultant salaries introduced in October 2012 in breach of the Croke Park Agreement must be reversed to ensure the country can recruit and retain the number and calibre of Consultants it needs.</w:t>
      </w:r>
    </w:p>
    <w:p w:rsidR="00FB529E" w:rsidRPr="00AD1790" w:rsidRDefault="00FB529E" w:rsidP="00F37EBC">
      <w:pPr>
        <w:pStyle w:val="ListParagraph"/>
        <w:spacing w:before="240" w:after="200" w:line="276" w:lineRule="auto"/>
        <w:ind w:left="0"/>
      </w:pPr>
    </w:p>
    <w:p w:rsidR="00FB529E" w:rsidRDefault="00FB529E" w:rsidP="00F37EBC">
      <w:pPr>
        <w:pStyle w:val="ListParagraph"/>
        <w:spacing w:before="240" w:after="200" w:line="276" w:lineRule="auto"/>
        <w:ind w:left="0"/>
        <w:rPr>
          <w:sz w:val="20"/>
          <w:szCs w:val="20"/>
        </w:rPr>
      </w:pPr>
    </w:p>
    <w:p w:rsidR="00FB529E" w:rsidRDefault="00FB529E" w:rsidP="00F37EBC">
      <w:pPr>
        <w:pStyle w:val="ListParagraph"/>
        <w:spacing w:before="240" w:after="200" w:line="276" w:lineRule="auto"/>
        <w:ind w:left="0"/>
        <w:rPr>
          <w:sz w:val="20"/>
          <w:szCs w:val="20"/>
        </w:rPr>
      </w:pPr>
    </w:p>
    <w:p w:rsidR="00FB529E" w:rsidRPr="00D45654" w:rsidRDefault="00FB529E" w:rsidP="00602E23">
      <w:pPr>
        <w:pStyle w:val="Style3"/>
      </w:pPr>
      <w:bookmarkStart w:id="4" w:name="_Toc393724537"/>
      <w:bookmarkStart w:id="5" w:name="_Toc393875679"/>
      <w:r>
        <w:lastRenderedPageBreak/>
        <w:t>Introduction</w:t>
      </w:r>
      <w:bookmarkEnd w:id="4"/>
      <w:bookmarkEnd w:id="5"/>
    </w:p>
    <w:p w:rsidR="00FB529E" w:rsidRPr="00A11BC1" w:rsidRDefault="00FB529E" w:rsidP="00A11BC1">
      <w:pPr>
        <w:pStyle w:val="Style1"/>
        <w:tabs>
          <w:tab w:val="clear" w:pos="360"/>
        </w:tabs>
        <w:spacing w:before="0"/>
        <w:rPr>
          <w:rFonts w:ascii="Calibri" w:hAnsi="Calibri"/>
          <w:b w:val="0"/>
          <w:color w:val="auto"/>
          <w:sz w:val="20"/>
          <w:szCs w:val="20"/>
          <w:lang w:val="en-GB"/>
        </w:rPr>
      </w:pPr>
      <w:bookmarkStart w:id="6" w:name="_Toc393718685"/>
      <w:bookmarkStart w:id="7" w:name="_Toc393724538"/>
      <w:r>
        <w:rPr>
          <w:rFonts w:ascii="Calibri" w:hAnsi="Calibri"/>
          <w:b w:val="0"/>
          <w:color w:val="auto"/>
          <w:sz w:val="20"/>
          <w:szCs w:val="20"/>
          <w:lang w:val="en-GB"/>
        </w:rPr>
        <w:t>The total health budget and in particular the budget provisions for acute hospitals and mental health services have been cut disproportionately during the past five years of austerity. It is widely recognised that the current budget provisions for the frontline delivery of these health services are insufficient. Recent budgets have not been based on realistic estimates of patient demand. It is essential that increased funding for these frontline services is provided in the 2015 Budget, especially now that the financial circumstances for the country and the economy are improving.</w:t>
      </w:r>
      <w:bookmarkEnd w:id="6"/>
      <w:bookmarkEnd w:id="7"/>
    </w:p>
    <w:p w:rsidR="00FB529E" w:rsidRPr="00D45654" w:rsidRDefault="00FB529E" w:rsidP="00D45654">
      <w:pPr>
        <w:pStyle w:val="Style1"/>
        <w:tabs>
          <w:tab w:val="clear" w:pos="360"/>
        </w:tabs>
        <w:spacing w:before="0"/>
        <w:jc w:val="left"/>
        <w:rPr>
          <w:rFonts w:ascii="Calibri" w:hAnsi="Calibri"/>
          <w:color w:val="auto"/>
          <w:sz w:val="28"/>
          <w:szCs w:val="28"/>
        </w:rPr>
      </w:pPr>
    </w:p>
    <w:p w:rsidR="00FB529E" w:rsidRPr="00D45654" w:rsidRDefault="00FB529E" w:rsidP="00602E23">
      <w:pPr>
        <w:pStyle w:val="Style3"/>
      </w:pPr>
      <w:bookmarkStart w:id="8" w:name="_Toc393724539"/>
      <w:bookmarkStart w:id="9" w:name="_Toc393875680"/>
      <w:r w:rsidRPr="00D45654">
        <w:t>Increased Frontline Acute Hospital Resources</w:t>
      </w:r>
      <w:bookmarkEnd w:id="8"/>
      <w:r>
        <w:t xml:space="preserve"> Required</w:t>
      </w:r>
      <w:bookmarkEnd w:id="9"/>
    </w:p>
    <w:p w:rsidR="00FB529E" w:rsidRPr="006C6A5C" w:rsidRDefault="00FB529E" w:rsidP="00FB529E">
      <w:pPr>
        <w:numPr>
          <w:ilvl w:val="1"/>
          <w:numId w:val="8"/>
        </w:numPr>
        <w:tabs>
          <w:tab w:val="left" w:pos="0"/>
        </w:tabs>
        <w:ind w:left="0"/>
        <w:jc w:val="both"/>
        <w:rPr>
          <w:sz w:val="20"/>
          <w:szCs w:val="20"/>
        </w:rPr>
      </w:pPr>
      <w:r w:rsidRPr="00411CAA">
        <w:rPr>
          <w:sz w:val="20"/>
          <w:szCs w:val="20"/>
        </w:rPr>
        <w:t>The</w:t>
      </w:r>
      <w:r>
        <w:rPr>
          <w:sz w:val="20"/>
          <w:szCs w:val="20"/>
        </w:rPr>
        <w:t xml:space="preserve"> number of inpatient and day case patients treated in 2013 was 1,431,898, which is a 15% increase on 2008.  Up to May this year 588,921 inpatients and day case patients have been treated; 4,958 patients (0.8%) above the year to date target in the NSP.  However, it represents a decrease of 11,970 patients (-2%) on the number of patients treated in the same period last year, when 600,891 patients were treated. This creates a significant concern that the substantial cuts in</w:t>
      </w:r>
      <w:r w:rsidRPr="00411CAA">
        <w:rPr>
          <w:sz w:val="20"/>
          <w:szCs w:val="20"/>
        </w:rPr>
        <w:t xml:space="preserve"> hospital</w:t>
      </w:r>
      <w:r>
        <w:rPr>
          <w:sz w:val="20"/>
          <w:szCs w:val="20"/>
        </w:rPr>
        <w:t xml:space="preserve"> budgets are negatively impacting on the delivery of timely</w:t>
      </w:r>
      <w:r w:rsidRPr="006C6A5C">
        <w:rPr>
          <w:sz w:val="20"/>
          <w:szCs w:val="20"/>
        </w:rPr>
        <w:t xml:space="preserve"> patient care. </w:t>
      </w:r>
    </w:p>
    <w:p w:rsidR="00FB529E" w:rsidRDefault="00FB529E" w:rsidP="007D4F30">
      <w:pPr>
        <w:tabs>
          <w:tab w:val="left" w:pos="0"/>
        </w:tabs>
        <w:ind w:left="360"/>
        <w:rPr>
          <w:sz w:val="20"/>
          <w:szCs w:val="20"/>
        </w:rPr>
      </w:pPr>
    </w:p>
    <w:p w:rsidR="00FB529E" w:rsidRPr="007D4F30" w:rsidRDefault="00FB529E" w:rsidP="00FB529E">
      <w:pPr>
        <w:numPr>
          <w:ilvl w:val="1"/>
          <w:numId w:val="8"/>
        </w:numPr>
        <w:tabs>
          <w:tab w:val="left" w:pos="0"/>
        </w:tabs>
        <w:ind w:left="0"/>
        <w:jc w:val="both"/>
        <w:rPr>
          <w:sz w:val="20"/>
          <w:szCs w:val="20"/>
        </w:rPr>
      </w:pPr>
      <w:r w:rsidRPr="007D4F30">
        <w:rPr>
          <w:sz w:val="20"/>
          <w:szCs w:val="20"/>
        </w:rPr>
        <w:t xml:space="preserve">Acute hospitals have been significantly underfunded in recent </w:t>
      </w:r>
      <w:r>
        <w:rPr>
          <w:sz w:val="20"/>
          <w:szCs w:val="20"/>
        </w:rPr>
        <w:t>years, with end of year</w:t>
      </w:r>
      <w:r w:rsidRPr="007D4F30">
        <w:rPr>
          <w:sz w:val="20"/>
          <w:szCs w:val="20"/>
        </w:rPr>
        <w:t xml:space="preserve"> deficits</w:t>
      </w:r>
      <w:r>
        <w:rPr>
          <w:sz w:val="20"/>
          <w:szCs w:val="20"/>
        </w:rPr>
        <w:t xml:space="preserve"> before inclusion of supplementary budgets of</w:t>
      </w:r>
      <w:r w:rsidRPr="007D4F30">
        <w:rPr>
          <w:sz w:val="20"/>
          <w:szCs w:val="20"/>
        </w:rPr>
        <w:t xml:space="preserve"> €280</w:t>
      </w:r>
      <w:r>
        <w:rPr>
          <w:sz w:val="20"/>
          <w:szCs w:val="20"/>
        </w:rPr>
        <w:t>m</w:t>
      </w:r>
      <w:r w:rsidRPr="007D4F30">
        <w:rPr>
          <w:sz w:val="20"/>
          <w:szCs w:val="20"/>
        </w:rPr>
        <w:t xml:space="preserve"> (</w:t>
      </w:r>
      <w:r>
        <w:rPr>
          <w:sz w:val="20"/>
          <w:szCs w:val="20"/>
        </w:rPr>
        <w:t>7.7</w:t>
      </w:r>
      <w:r w:rsidRPr="007D4F30">
        <w:rPr>
          <w:sz w:val="20"/>
          <w:szCs w:val="20"/>
        </w:rPr>
        <w:t>%) and €70m (1.8%) in 2012 and 2013 respectively. Funding for acute hospital services has been cut by almost a fifth, or ar</w:t>
      </w:r>
      <w:r>
        <w:rPr>
          <w:sz w:val="20"/>
          <w:szCs w:val="20"/>
        </w:rPr>
        <w:t>ound €873</w:t>
      </w:r>
      <w:r w:rsidRPr="007D4F30">
        <w:rPr>
          <w:sz w:val="20"/>
          <w:szCs w:val="20"/>
        </w:rPr>
        <w:t xml:space="preserve">m since 2008 as demonstrated in Figure 1. </w:t>
      </w:r>
      <w:r>
        <w:rPr>
          <w:sz w:val="20"/>
          <w:szCs w:val="20"/>
        </w:rPr>
        <w:t>Following health</w:t>
      </w:r>
      <w:r w:rsidRPr="007D4F30">
        <w:rPr>
          <w:sz w:val="20"/>
          <w:szCs w:val="20"/>
        </w:rPr>
        <w:t xml:space="preserve"> budgetary reductions of €3.3bn since 2008, the 2014 reductions of €619m bring the total</w:t>
      </w:r>
      <w:r>
        <w:rPr>
          <w:sz w:val="20"/>
          <w:szCs w:val="20"/>
        </w:rPr>
        <w:t xml:space="preserve"> reduction in the health budget to €3.92bn in</w:t>
      </w:r>
      <w:r w:rsidRPr="007D4F30">
        <w:rPr>
          <w:sz w:val="20"/>
          <w:szCs w:val="20"/>
        </w:rPr>
        <w:t xml:space="preserve"> six years. </w:t>
      </w:r>
      <w:r>
        <w:rPr>
          <w:sz w:val="20"/>
          <w:szCs w:val="20"/>
        </w:rPr>
        <w:t xml:space="preserve"> </w:t>
      </w:r>
    </w:p>
    <w:p w:rsidR="00FB529E" w:rsidRDefault="00FB529E" w:rsidP="00B53A56">
      <w:pPr>
        <w:tabs>
          <w:tab w:val="left" w:pos="0"/>
        </w:tabs>
        <w:rPr>
          <w:sz w:val="20"/>
          <w:szCs w:val="20"/>
        </w:rPr>
      </w:pPr>
    </w:p>
    <w:p w:rsidR="00FB529E" w:rsidRPr="00C044DC" w:rsidRDefault="00FB529E" w:rsidP="00B53A56">
      <w:pPr>
        <w:tabs>
          <w:tab w:val="left" w:pos="0"/>
        </w:tabs>
        <w:ind w:left="-414"/>
        <w:rPr>
          <w:rFonts w:ascii="Cambria" w:hAnsi="Cambria"/>
          <w:i/>
          <w:sz w:val="20"/>
          <w:szCs w:val="20"/>
        </w:rPr>
      </w:pPr>
      <w:r w:rsidRPr="00FE7B42">
        <w:rPr>
          <w:b/>
          <w:i/>
          <w:sz w:val="20"/>
          <w:szCs w:val="20"/>
        </w:rPr>
        <w:t xml:space="preserve">Figure 1: </w:t>
      </w:r>
      <w:r>
        <w:rPr>
          <w:b/>
          <w:i/>
          <w:sz w:val="20"/>
          <w:szCs w:val="20"/>
        </w:rPr>
        <w:t xml:space="preserve">Acute </w:t>
      </w:r>
      <w:r w:rsidRPr="00FE7B42">
        <w:rPr>
          <w:b/>
          <w:i/>
          <w:sz w:val="20"/>
          <w:szCs w:val="20"/>
        </w:rPr>
        <w:t xml:space="preserve">Hospital funding </w:t>
      </w:r>
      <w:r>
        <w:rPr>
          <w:b/>
          <w:i/>
          <w:sz w:val="20"/>
          <w:szCs w:val="20"/>
        </w:rPr>
        <w:t>2008 – 2014 (€' 000)</w:t>
      </w:r>
    </w:p>
    <w:p w:rsidR="00FB529E" w:rsidRPr="00C044DC" w:rsidRDefault="00FB529E" w:rsidP="00B53A56">
      <w:pPr>
        <w:tabs>
          <w:tab w:val="left" w:pos="960"/>
        </w:tabs>
        <w:rPr>
          <w:rFonts w:ascii="Cambria" w:hAnsi="Cambria"/>
          <w:sz w:val="20"/>
          <w:szCs w:val="20"/>
        </w:rPr>
      </w:pPr>
      <w:r w:rsidRPr="00CD2493">
        <w:rPr>
          <w:rFonts w:ascii="Cambria" w:hAnsi="Cambria"/>
          <w:noProof/>
          <w:sz w:val="20"/>
          <w:szCs w:val="20"/>
        </w:rPr>
        <w:pict>
          <v:shape id="Chart 1" o:spid="_x0000_i1027" type="#_x0000_t75" style="width:453pt;height:267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B7qPn2gAAAAUBAAAPAAAAZHJzL2Rvd25y&#10;ZXYueG1sTI/NTsMwEITvSLyDtUhcUOvwU5SmcaqoqA9Agbsbb+OUeG3FbpPy9Cxc4DLSaFYz35br&#10;yfXijEPsPCm4n2cgkBpvOmoVvL9tZzmImDQZ3XtCBReMsK6ur0pdGD/SK553qRVcQrHQCmxKoZAy&#10;NhadjnMfkDg7+MHpxHZopRn0yOWulw9Z9iyd7ogXrA64sdh87k5OwRDD3Yd9CuN42B5fLptj/lXX&#10;Uanbm6legUg4pb9j+MFndKiYae9PZKLoFfAj6Vc5Wz4u2e4VLPJFBrIq5X/66hs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">
            <v:imagedata r:id="rId11" o:title="" cropbottom="-33f"/>
            <o:lock v:ext="edit" aspectratio="f"/>
          </v:shape>
        </w:pict>
      </w:r>
    </w:p>
    <w:p w:rsidR="00FB529E" w:rsidRDefault="00FB529E" w:rsidP="00B53A56">
      <w:pPr>
        <w:ind w:left="-709"/>
        <w:rPr>
          <w:rFonts w:ascii="Cambria" w:hAnsi="Cambria"/>
          <w:i/>
          <w:sz w:val="20"/>
          <w:szCs w:val="20"/>
        </w:rPr>
      </w:pPr>
    </w:p>
    <w:tbl>
      <w:tblPr>
        <w:tblW w:w="9077" w:type="dxa"/>
        <w:tblInd w:w="103" w:type="dxa"/>
        <w:tblLook w:val="04A0" w:firstRow="1" w:lastRow="0" w:firstColumn="1" w:lastColumn="0" w:noHBand="0" w:noVBand="1"/>
      </w:tblPr>
      <w:tblGrid>
        <w:gridCol w:w="986"/>
        <w:gridCol w:w="1287"/>
        <w:gridCol w:w="1343"/>
        <w:gridCol w:w="1297"/>
        <w:gridCol w:w="1515"/>
        <w:gridCol w:w="1327"/>
        <w:gridCol w:w="1322"/>
      </w:tblGrid>
      <w:tr w:rsidR="00FB529E" w:rsidRPr="00190A07" w:rsidTr="00AF641B">
        <w:trPr>
          <w:trHeight w:val="30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529E" w:rsidRPr="00190A07" w:rsidRDefault="00FB529E" w:rsidP="00C568C3">
            <w:pPr>
              <w:rPr>
                <w:rFonts w:eastAsia="Times New Roman"/>
                <w:b/>
                <w:bCs/>
                <w:color w:val="000000"/>
              </w:rPr>
            </w:pPr>
            <w:r>
              <w:rPr>
                <w:rFonts w:ascii="Cambria" w:hAnsi="Cambria"/>
                <w:i/>
                <w:sz w:val="20"/>
                <w:szCs w:val="20"/>
              </w:rPr>
              <w:tab/>
            </w:r>
            <w:r w:rsidRPr="00190A07">
              <w:rPr>
                <w:rFonts w:eastAsia="Times New Roman"/>
                <w:b/>
                <w:bCs/>
                <w:color w:val="000000"/>
              </w:rPr>
              <w:t> </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FB529E" w:rsidRPr="00190A07" w:rsidRDefault="00FB529E" w:rsidP="00C568C3">
            <w:pPr>
              <w:jc w:val="right"/>
              <w:rPr>
                <w:rFonts w:eastAsia="Times New Roman"/>
                <w:b/>
                <w:bCs/>
                <w:color w:val="000000"/>
              </w:rPr>
            </w:pPr>
            <w:r w:rsidRPr="00190A07">
              <w:rPr>
                <w:rFonts w:eastAsia="Times New Roman"/>
                <w:b/>
                <w:bCs/>
                <w:color w:val="000000"/>
              </w:rPr>
              <w:t>2008</w:t>
            </w:r>
          </w:p>
        </w:tc>
        <w:tc>
          <w:tcPr>
            <w:tcW w:w="1343" w:type="dxa"/>
            <w:tcBorders>
              <w:top w:val="single" w:sz="4" w:space="0" w:color="auto"/>
              <w:left w:val="nil"/>
              <w:bottom w:val="single" w:sz="4" w:space="0" w:color="auto"/>
              <w:right w:val="single" w:sz="4" w:space="0" w:color="auto"/>
            </w:tcBorders>
            <w:shd w:val="clear" w:color="auto" w:fill="auto"/>
            <w:noWrap/>
            <w:vAlign w:val="bottom"/>
            <w:hideMark/>
          </w:tcPr>
          <w:p w:rsidR="00FB529E" w:rsidRPr="00190A07" w:rsidRDefault="00FB529E" w:rsidP="00C568C3">
            <w:pPr>
              <w:jc w:val="right"/>
              <w:rPr>
                <w:rFonts w:eastAsia="Times New Roman"/>
                <w:b/>
                <w:bCs/>
                <w:color w:val="000000"/>
              </w:rPr>
            </w:pPr>
            <w:r w:rsidRPr="00190A07">
              <w:rPr>
                <w:rFonts w:eastAsia="Times New Roman"/>
                <w:b/>
                <w:bCs/>
                <w:color w:val="000000"/>
              </w:rPr>
              <w:t>2009</w:t>
            </w:r>
          </w:p>
        </w:tc>
        <w:tc>
          <w:tcPr>
            <w:tcW w:w="1297" w:type="dxa"/>
            <w:tcBorders>
              <w:top w:val="single" w:sz="4" w:space="0" w:color="auto"/>
              <w:left w:val="nil"/>
              <w:bottom w:val="single" w:sz="4" w:space="0" w:color="auto"/>
              <w:right w:val="single" w:sz="4" w:space="0" w:color="auto"/>
            </w:tcBorders>
            <w:shd w:val="clear" w:color="auto" w:fill="auto"/>
            <w:noWrap/>
            <w:vAlign w:val="bottom"/>
            <w:hideMark/>
          </w:tcPr>
          <w:p w:rsidR="00FB529E" w:rsidRPr="00190A07" w:rsidRDefault="00FB529E" w:rsidP="00C568C3">
            <w:pPr>
              <w:jc w:val="right"/>
              <w:rPr>
                <w:rFonts w:eastAsia="Times New Roman"/>
                <w:b/>
                <w:bCs/>
                <w:color w:val="000000"/>
              </w:rPr>
            </w:pPr>
            <w:r w:rsidRPr="00190A07">
              <w:rPr>
                <w:rFonts w:eastAsia="Times New Roman"/>
                <w:b/>
                <w:bCs/>
                <w:color w:val="000000"/>
              </w:rPr>
              <w:t>2010</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rsidR="00FB529E" w:rsidRPr="00190A07" w:rsidRDefault="00FB529E" w:rsidP="00C568C3">
            <w:pPr>
              <w:jc w:val="right"/>
              <w:rPr>
                <w:rFonts w:eastAsia="Times New Roman"/>
                <w:b/>
                <w:bCs/>
                <w:color w:val="000000"/>
              </w:rPr>
            </w:pPr>
            <w:r w:rsidRPr="00190A07">
              <w:rPr>
                <w:rFonts w:eastAsia="Times New Roman"/>
                <w:b/>
                <w:bCs/>
                <w:color w:val="000000"/>
              </w:rPr>
              <w:t>2011</w:t>
            </w:r>
          </w:p>
        </w:tc>
        <w:tc>
          <w:tcPr>
            <w:tcW w:w="1327" w:type="dxa"/>
            <w:tcBorders>
              <w:top w:val="single" w:sz="4" w:space="0" w:color="auto"/>
              <w:left w:val="nil"/>
              <w:bottom w:val="single" w:sz="4" w:space="0" w:color="auto"/>
              <w:right w:val="single" w:sz="4" w:space="0" w:color="auto"/>
            </w:tcBorders>
            <w:shd w:val="clear" w:color="auto" w:fill="auto"/>
            <w:noWrap/>
            <w:vAlign w:val="bottom"/>
            <w:hideMark/>
          </w:tcPr>
          <w:p w:rsidR="00FB529E" w:rsidRPr="00190A07" w:rsidRDefault="00FB529E" w:rsidP="00C568C3">
            <w:pPr>
              <w:jc w:val="right"/>
              <w:rPr>
                <w:rFonts w:eastAsia="Times New Roman"/>
                <w:b/>
                <w:bCs/>
                <w:color w:val="000000"/>
              </w:rPr>
            </w:pPr>
            <w:r w:rsidRPr="00190A07">
              <w:rPr>
                <w:rFonts w:eastAsia="Times New Roman"/>
                <w:b/>
                <w:bCs/>
                <w:color w:val="000000"/>
              </w:rPr>
              <w:t>2012</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rsidR="00FB529E" w:rsidRPr="00190A07" w:rsidRDefault="00FB529E" w:rsidP="00C568C3">
            <w:pPr>
              <w:jc w:val="right"/>
              <w:rPr>
                <w:rFonts w:eastAsia="Times New Roman"/>
                <w:b/>
                <w:bCs/>
                <w:color w:val="000000"/>
              </w:rPr>
            </w:pPr>
            <w:r w:rsidRPr="00190A07">
              <w:rPr>
                <w:rFonts w:eastAsia="Times New Roman"/>
                <w:b/>
                <w:bCs/>
                <w:color w:val="000000"/>
              </w:rPr>
              <w:t>2013</w:t>
            </w:r>
          </w:p>
        </w:tc>
      </w:tr>
      <w:tr w:rsidR="00FB529E" w:rsidRPr="00190A07" w:rsidTr="00AF641B">
        <w:trPr>
          <w:trHeight w:val="300"/>
        </w:trPr>
        <w:tc>
          <w:tcPr>
            <w:tcW w:w="986" w:type="dxa"/>
            <w:tcBorders>
              <w:top w:val="nil"/>
              <w:left w:val="single" w:sz="4" w:space="0" w:color="auto"/>
              <w:bottom w:val="single" w:sz="4" w:space="0" w:color="auto"/>
              <w:right w:val="single" w:sz="4" w:space="0" w:color="auto"/>
            </w:tcBorders>
            <w:shd w:val="clear" w:color="auto" w:fill="auto"/>
            <w:noWrap/>
            <w:vAlign w:val="bottom"/>
            <w:hideMark/>
          </w:tcPr>
          <w:p w:rsidR="00FB529E" w:rsidRPr="00190A07" w:rsidRDefault="00FB529E" w:rsidP="00C568C3">
            <w:pPr>
              <w:rPr>
                <w:rFonts w:eastAsia="Times New Roman"/>
                <w:b/>
                <w:bCs/>
                <w:color w:val="000000"/>
              </w:rPr>
            </w:pPr>
            <w:r w:rsidRPr="00190A07">
              <w:rPr>
                <w:rFonts w:eastAsia="Times New Roman"/>
                <w:b/>
                <w:bCs/>
                <w:color w:val="000000"/>
              </w:rPr>
              <w:t>Var</w:t>
            </w:r>
          </w:p>
        </w:tc>
        <w:tc>
          <w:tcPr>
            <w:tcW w:w="1287" w:type="dxa"/>
            <w:tcBorders>
              <w:top w:val="nil"/>
              <w:left w:val="nil"/>
              <w:bottom w:val="single" w:sz="4" w:space="0" w:color="auto"/>
              <w:right w:val="single" w:sz="4" w:space="0" w:color="auto"/>
            </w:tcBorders>
            <w:shd w:val="clear" w:color="auto" w:fill="auto"/>
            <w:noWrap/>
            <w:vAlign w:val="bottom"/>
            <w:hideMark/>
          </w:tcPr>
          <w:p w:rsidR="00FB529E" w:rsidRPr="00190A07" w:rsidRDefault="00FB529E" w:rsidP="00C568C3">
            <w:pPr>
              <w:jc w:val="right"/>
              <w:rPr>
                <w:rFonts w:eastAsia="Times New Roman"/>
                <w:b/>
                <w:bCs/>
                <w:color w:val="000000"/>
              </w:rPr>
            </w:pPr>
            <w:r w:rsidRPr="00190A07">
              <w:rPr>
                <w:rFonts w:eastAsia="Times New Roman"/>
                <w:b/>
                <w:bCs/>
                <w:color w:val="000000"/>
              </w:rPr>
              <w:t>-7,000</w:t>
            </w:r>
          </w:p>
        </w:tc>
        <w:tc>
          <w:tcPr>
            <w:tcW w:w="1343" w:type="dxa"/>
            <w:tcBorders>
              <w:top w:val="nil"/>
              <w:left w:val="nil"/>
              <w:bottom w:val="single" w:sz="4" w:space="0" w:color="auto"/>
              <w:right w:val="single" w:sz="4" w:space="0" w:color="auto"/>
            </w:tcBorders>
            <w:shd w:val="clear" w:color="auto" w:fill="auto"/>
            <w:noWrap/>
            <w:vAlign w:val="bottom"/>
            <w:hideMark/>
          </w:tcPr>
          <w:p w:rsidR="00FB529E" w:rsidRPr="00190A07" w:rsidRDefault="00FB529E" w:rsidP="00C568C3">
            <w:pPr>
              <w:jc w:val="right"/>
              <w:rPr>
                <w:rFonts w:eastAsia="Times New Roman"/>
                <w:b/>
                <w:bCs/>
                <w:color w:val="000000"/>
              </w:rPr>
            </w:pPr>
            <w:r w:rsidRPr="00190A07">
              <w:rPr>
                <w:rFonts w:eastAsia="Times New Roman"/>
                <w:b/>
                <w:bCs/>
                <w:color w:val="000000"/>
              </w:rPr>
              <w:t>-27,000</w:t>
            </w:r>
          </w:p>
        </w:tc>
        <w:tc>
          <w:tcPr>
            <w:tcW w:w="1297" w:type="dxa"/>
            <w:tcBorders>
              <w:top w:val="nil"/>
              <w:left w:val="nil"/>
              <w:bottom w:val="single" w:sz="4" w:space="0" w:color="auto"/>
              <w:right w:val="single" w:sz="4" w:space="0" w:color="auto"/>
            </w:tcBorders>
            <w:shd w:val="clear" w:color="auto" w:fill="auto"/>
            <w:noWrap/>
            <w:vAlign w:val="bottom"/>
            <w:hideMark/>
          </w:tcPr>
          <w:p w:rsidR="00FB529E" w:rsidRPr="00190A07" w:rsidRDefault="00FB529E" w:rsidP="00C568C3">
            <w:pPr>
              <w:jc w:val="right"/>
              <w:rPr>
                <w:rFonts w:eastAsia="Times New Roman"/>
                <w:b/>
                <w:bCs/>
                <w:color w:val="000000"/>
              </w:rPr>
            </w:pPr>
            <w:r w:rsidRPr="00190A07">
              <w:rPr>
                <w:rFonts w:eastAsia="Times New Roman"/>
                <w:b/>
                <w:bCs/>
                <w:color w:val="000000"/>
              </w:rPr>
              <w:t>-79,000</w:t>
            </w:r>
          </w:p>
        </w:tc>
        <w:tc>
          <w:tcPr>
            <w:tcW w:w="1515" w:type="dxa"/>
            <w:tcBorders>
              <w:top w:val="nil"/>
              <w:left w:val="nil"/>
              <w:bottom w:val="single" w:sz="4" w:space="0" w:color="auto"/>
              <w:right w:val="single" w:sz="4" w:space="0" w:color="auto"/>
            </w:tcBorders>
            <w:shd w:val="clear" w:color="auto" w:fill="auto"/>
            <w:noWrap/>
            <w:vAlign w:val="bottom"/>
            <w:hideMark/>
          </w:tcPr>
          <w:p w:rsidR="00FB529E" w:rsidRPr="00190A07" w:rsidRDefault="00FB529E" w:rsidP="00C568C3">
            <w:pPr>
              <w:jc w:val="right"/>
              <w:rPr>
                <w:rFonts w:eastAsia="Times New Roman"/>
                <w:b/>
                <w:bCs/>
                <w:color w:val="000000"/>
              </w:rPr>
            </w:pPr>
            <w:r w:rsidRPr="00190A07">
              <w:rPr>
                <w:rFonts w:eastAsia="Times New Roman"/>
                <w:b/>
                <w:bCs/>
                <w:color w:val="000000"/>
              </w:rPr>
              <w:t>-125,000</w:t>
            </w:r>
          </w:p>
        </w:tc>
        <w:tc>
          <w:tcPr>
            <w:tcW w:w="1327" w:type="dxa"/>
            <w:tcBorders>
              <w:top w:val="nil"/>
              <w:left w:val="nil"/>
              <w:bottom w:val="single" w:sz="4" w:space="0" w:color="auto"/>
              <w:right w:val="single" w:sz="4" w:space="0" w:color="auto"/>
            </w:tcBorders>
            <w:shd w:val="clear" w:color="auto" w:fill="auto"/>
            <w:noWrap/>
            <w:vAlign w:val="bottom"/>
            <w:hideMark/>
          </w:tcPr>
          <w:p w:rsidR="00FB529E" w:rsidRPr="00190A07" w:rsidRDefault="00FB529E" w:rsidP="00C568C3">
            <w:pPr>
              <w:jc w:val="right"/>
              <w:rPr>
                <w:rFonts w:eastAsia="Times New Roman"/>
                <w:b/>
                <w:bCs/>
                <w:color w:val="000000"/>
              </w:rPr>
            </w:pPr>
            <w:r w:rsidRPr="00190A07">
              <w:rPr>
                <w:rFonts w:eastAsia="Times New Roman"/>
                <w:b/>
                <w:bCs/>
                <w:color w:val="000000"/>
              </w:rPr>
              <w:t>-279,000</w:t>
            </w:r>
          </w:p>
        </w:tc>
        <w:tc>
          <w:tcPr>
            <w:tcW w:w="1322" w:type="dxa"/>
            <w:tcBorders>
              <w:top w:val="nil"/>
              <w:left w:val="nil"/>
              <w:bottom w:val="single" w:sz="4" w:space="0" w:color="auto"/>
              <w:right w:val="single" w:sz="4" w:space="0" w:color="auto"/>
            </w:tcBorders>
            <w:shd w:val="clear" w:color="auto" w:fill="auto"/>
            <w:noWrap/>
            <w:vAlign w:val="bottom"/>
            <w:hideMark/>
          </w:tcPr>
          <w:p w:rsidR="00FB529E" w:rsidRPr="00190A07" w:rsidRDefault="00FB529E" w:rsidP="00C568C3">
            <w:pPr>
              <w:jc w:val="right"/>
              <w:rPr>
                <w:rFonts w:eastAsia="Times New Roman"/>
                <w:b/>
                <w:bCs/>
                <w:color w:val="000000"/>
              </w:rPr>
            </w:pPr>
            <w:r w:rsidRPr="00190A07">
              <w:rPr>
                <w:rFonts w:eastAsia="Times New Roman"/>
                <w:b/>
                <w:bCs/>
                <w:color w:val="000000"/>
              </w:rPr>
              <w:t>-70,000</w:t>
            </w:r>
          </w:p>
        </w:tc>
      </w:tr>
      <w:tr w:rsidR="00FB529E" w:rsidRPr="00190A07" w:rsidTr="00AF641B">
        <w:trPr>
          <w:trHeight w:val="300"/>
        </w:trPr>
        <w:tc>
          <w:tcPr>
            <w:tcW w:w="986" w:type="dxa"/>
            <w:tcBorders>
              <w:top w:val="nil"/>
              <w:left w:val="single" w:sz="4" w:space="0" w:color="auto"/>
              <w:bottom w:val="single" w:sz="4" w:space="0" w:color="auto"/>
              <w:right w:val="single" w:sz="4" w:space="0" w:color="auto"/>
            </w:tcBorders>
            <w:shd w:val="clear" w:color="auto" w:fill="auto"/>
            <w:noWrap/>
            <w:vAlign w:val="bottom"/>
            <w:hideMark/>
          </w:tcPr>
          <w:p w:rsidR="00FB529E" w:rsidRPr="00190A07" w:rsidRDefault="00FB529E" w:rsidP="00C568C3">
            <w:pPr>
              <w:rPr>
                <w:rFonts w:eastAsia="Times New Roman"/>
                <w:b/>
                <w:bCs/>
                <w:color w:val="000000"/>
              </w:rPr>
            </w:pPr>
            <w:r w:rsidRPr="00190A07">
              <w:rPr>
                <w:rFonts w:eastAsia="Times New Roman"/>
                <w:b/>
                <w:bCs/>
                <w:color w:val="000000"/>
              </w:rPr>
              <w:t>%</w:t>
            </w:r>
          </w:p>
        </w:tc>
        <w:tc>
          <w:tcPr>
            <w:tcW w:w="1287" w:type="dxa"/>
            <w:tcBorders>
              <w:top w:val="nil"/>
              <w:left w:val="nil"/>
              <w:bottom w:val="single" w:sz="4" w:space="0" w:color="auto"/>
              <w:right w:val="single" w:sz="4" w:space="0" w:color="auto"/>
            </w:tcBorders>
            <w:shd w:val="clear" w:color="auto" w:fill="auto"/>
            <w:noWrap/>
            <w:vAlign w:val="bottom"/>
            <w:hideMark/>
          </w:tcPr>
          <w:p w:rsidR="00FB529E" w:rsidRPr="00190A07" w:rsidRDefault="00FB529E" w:rsidP="00C568C3">
            <w:pPr>
              <w:jc w:val="right"/>
              <w:rPr>
                <w:rFonts w:eastAsia="Times New Roman"/>
                <w:b/>
                <w:bCs/>
                <w:color w:val="000000"/>
              </w:rPr>
            </w:pPr>
            <w:r w:rsidRPr="00190A07">
              <w:rPr>
                <w:rFonts w:eastAsia="Times New Roman"/>
                <w:b/>
                <w:bCs/>
                <w:color w:val="000000"/>
              </w:rPr>
              <w:t>-0.2%</w:t>
            </w:r>
          </w:p>
        </w:tc>
        <w:tc>
          <w:tcPr>
            <w:tcW w:w="1343" w:type="dxa"/>
            <w:tcBorders>
              <w:top w:val="nil"/>
              <w:left w:val="nil"/>
              <w:bottom w:val="single" w:sz="4" w:space="0" w:color="auto"/>
              <w:right w:val="single" w:sz="4" w:space="0" w:color="auto"/>
            </w:tcBorders>
            <w:shd w:val="clear" w:color="auto" w:fill="auto"/>
            <w:noWrap/>
            <w:vAlign w:val="bottom"/>
            <w:hideMark/>
          </w:tcPr>
          <w:p w:rsidR="00FB529E" w:rsidRPr="00190A07" w:rsidRDefault="00FB529E" w:rsidP="00C568C3">
            <w:pPr>
              <w:jc w:val="right"/>
              <w:rPr>
                <w:rFonts w:eastAsia="Times New Roman"/>
                <w:b/>
                <w:bCs/>
                <w:color w:val="000000"/>
              </w:rPr>
            </w:pPr>
            <w:r w:rsidRPr="00190A07">
              <w:rPr>
                <w:rFonts w:eastAsia="Times New Roman"/>
                <w:b/>
                <w:bCs/>
                <w:color w:val="000000"/>
              </w:rPr>
              <w:t>-0.6%</w:t>
            </w:r>
          </w:p>
        </w:tc>
        <w:tc>
          <w:tcPr>
            <w:tcW w:w="1297" w:type="dxa"/>
            <w:tcBorders>
              <w:top w:val="nil"/>
              <w:left w:val="nil"/>
              <w:bottom w:val="single" w:sz="4" w:space="0" w:color="auto"/>
              <w:right w:val="single" w:sz="4" w:space="0" w:color="auto"/>
            </w:tcBorders>
            <w:shd w:val="clear" w:color="auto" w:fill="auto"/>
            <w:noWrap/>
            <w:vAlign w:val="bottom"/>
            <w:hideMark/>
          </w:tcPr>
          <w:p w:rsidR="00FB529E" w:rsidRPr="00190A07" w:rsidRDefault="00FB529E" w:rsidP="00C568C3">
            <w:pPr>
              <w:jc w:val="right"/>
              <w:rPr>
                <w:rFonts w:eastAsia="Times New Roman"/>
                <w:b/>
                <w:bCs/>
                <w:color w:val="000000"/>
              </w:rPr>
            </w:pPr>
            <w:r w:rsidRPr="00190A07">
              <w:rPr>
                <w:rFonts w:eastAsia="Times New Roman"/>
                <w:b/>
                <w:bCs/>
                <w:color w:val="000000"/>
              </w:rPr>
              <w:t>-2.0%</w:t>
            </w:r>
          </w:p>
        </w:tc>
        <w:tc>
          <w:tcPr>
            <w:tcW w:w="1515" w:type="dxa"/>
            <w:tcBorders>
              <w:top w:val="nil"/>
              <w:left w:val="nil"/>
              <w:bottom w:val="single" w:sz="4" w:space="0" w:color="auto"/>
              <w:right w:val="single" w:sz="4" w:space="0" w:color="auto"/>
            </w:tcBorders>
            <w:shd w:val="clear" w:color="auto" w:fill="auto"/>
            <w:noWrap/>
            <w:vAlign w:val="bottom"/>
            <w:hideMark/>
          </w:tcPr>
          <w:p w:rsidR="00FB529E" w:rsidRPr="00190A07" w:rsidRDefault="00FB529E" w:rsidP="00C568C3">
            <w:pPr>
              <w:jc w:val="right"/>
              <w:rPr>
                <w:rFonts w:eastAsia="Times New Roman"/>
                <w:b/>
                <w:bCs/>
                <w:color w:val="000000"/>
              </w:rPr>
            </w:pPr>
            <w:r w:rsidRPr="00190A07">
              <w:rPr>
                <w:rFonts w:eastAsia="Times New Roman"/>
                <w:b/>
                <w:bCs/>
                <w:color w:val="000000"/>
              </w:rPr>
              <w:t>-3.3%</w:t>
            </w:r>
          </w:p>
        </w:tc>
        <w:tc>
          <w:tcPr>
            <w:tcW w:w="1327" w:type="dxa"/>
            <w:tcBorders>
              <w:top w:val="nil"/>
              <w:left w:val="nil"/>
              <w:bottom w:val="single" w:sz="4" w:space="0" w:color="auto"/>
              <w:right w:val="single" w:sz="4" w:space="0" w:color="auto"/>
            </w:tcBorders>
            <w:shd w:val="clear" w:color="auto" w:fill="auto"/>
            <w:noWrap/>
            <w:vAlign w:val="bottom"/>
            <w:hideMark/>
          </w:tcPr>
          <w:p w:rsidR="00FB529E" w:rsidRPr="00190A07" w:rsidRDefault="00FB529E" w:rsidP="00C568C3">
            <w:pPr>
              <w:jc w:val="right"/>
              <w:rPr>
                <w:rFonts w:eastAsia="Times New Roman"/>
                <w:b/>
                <w:bCs/>
                <w:color w:val="000000"/>
              </w:rPr>
            </w:pPr>
            <w:r w:rsidRPr="00190A07">
              <w:rPr>
                <w:rFonts w:eastAsia="Times New Roman"/>
                <w:b/>
                <w:bCs/>
                <w:color w:val="000000"/>
              </w:rPr>
              <w:t>-7.7%</w:t>
            </w:r>
          </w:p>
        </w:tc>
        <w:tc>
          <w:tcPr>
            <w:tcW w:w="1322" w:type="dxa"/>
            <w:tcBorders>
              <w:top w:val="nil"/>
              <w:left w:val="nil"/>
              <w:bottom w:val="single" w:sz="4" w:space="0" w:color="auto"/>
              <w:right w:val="single" w:sz="4" w:space="0" w:color="auto"/>
            </w:tcBorders>
            <w:shd w:val="clear" w:color="auto" w:fill="auto"/>
            <w:noWrap/>
            <w:vAlign w:val="bottom"/>
            <w:hideMark/>
          </w:tcPr>
          <w:p w:rsidR="00FB529E" w:rsidRPr="00190A07" w:rsidRDefault="00FB529E" w:rsidP="00C568C3">
            <w:pPr>
              <w:jc w:val="right"/>
              <w:rPr>
                <w:rFonts w:eastAsia="Times New Roman"/>
                <w:b/>
                <w:bCs/>
                <w:color w:val="000000"/>
              </w:rPr>
            </w:pPr>
            <w:r w:rsidRPr="00190A07">
              <w:rPr>
                <w:rFonts w:eastAsia="Times New Roman"/>
                <w:b/>
                <w:bCs/>
                <w:color w:val="000000"/>
              </w:rPr>
              <w:t>1.80%</w:t>
            </w:r>
          </w:p>
        </w:tc>
      </w:tr>
    </w:tbl>
    <w:p w:rsidR="00FB529E" w:rsidRDefault="00FB529E" w:rsidP="008128E9">
      <w:pPr>
        <w:tabs>
          <w:tab w:val="left" w:pos="0"/>
        </w:tabs>
        <w:ind w:hanging="414"/>
        <w:rPr>
          <w:rFonts w:ascii="Cambria" w:hAnsi="Cambria"/>
          <w:i/>
          <w:sz w:val="20"/>
          <w:szCs w:val="20"/>
        </w:rPr>
      </w:pPr>
      <w:r>
        <w:rPr>
          <w:rFonts w:ascii="Cambria" w:hAnsi="Cambria"/>
          <w:i/>
          <w:sz w:val="20"/>
          <w:szCs w:val="20"/>
        </w:rPr>
        <w:tab/>
        <w:t>Source: May 2014</w:t>
      </w:r>
      <w:r w:rsidRPr="00C044DC">
        <w:rPr>
          <w:rFonts w:ascii="Cambria" w:hAnsi="Cambria"/>
          <w:i/>
          <w:sz w:val="20"/>
          <w:szCs w:val="20"/>
        </w:rPr>
        <w:t xml:space="preserve"> HSE Performan</w:t>
      </w:r>
      <w:r>
        <w:rPr>
          <w:rFonts w:ascii="Cambria" w:hAnsi="Cambria"/>
          <w:i/>
          <w:sz w:val="20"/>
          <w:szCs w:val="20"/>
        </w:rPr>
        <w:t>ce Report and Annual</w:t>
      </w:r>
      <w:r w:rsidRPr="00C044DC">
        <w:rPr>
          <w:rFonts w:ascii="Cambria" w:hAnsi="Cambria"/>
          <w:i/>
          <w:sz w:val="20"/>
          <w:szCs w:val="20"/>
        </w:rPr>
        <w:t xml:space="preserve"> Performance</w:t>
      </w:r>
      <w:r>
        <w:rPr>
          <w:rFonts w:ascii="Cambria" w:hAnsi="Cambria"/>
          <w:i/>
          <w:sz w:val="20"/>
          <w:szCs w:val="20"/>
        </w:rPr>
        <w:t xml:space="preserve"> </w:t>
      </w:r>
      <w:r w:rsidRPr="00C044DC">
        <w:rPr>
          <w:rFonts w:ascii="Cambria" w:hAnsi="Cambria"/>
          <w:i/>
          <w:sz w:val="20"/>
          <w:szCs w:val="20"/>
        </w:rPr>
        <w:t>Reports</w:t>
      </w:r>
      <w:r>
        <w:rPr>
          <w:rFonts w:ascii="Cambria" w:hAnsi="Cambria"/>
          <w:i/>
          <w:sz w:val="20"/>
          <w:szCs w:val="20"/>
        </w:rPr>
        <w:t>.</w:t>
      </w:r>
    </w:p>
    <w:p w:rsidR="00FB529E" w:rsidRDefault="00FB529E" w:rsidP="00B53A56">
      <w:pPr>
        <w:tabs>
          <w:tab w:val="left" w:pos="0"/>
        </w:tabs>
        <w:ind w:hanging="414"/>
        <w:rPr>
          <w:rFonts w:ascii="Cambria" w:hAnsi="Cambria"/>
          <w:i/>
          <w:sz w:val="20"/>
          <w:szCs w:val="20"/>
        </w:rPr>
      </w:pPr>
    </w:p>
    <w:p w:rsidR="00FB529E" w:rsidRDefault="00FB529E" w:rsidP="00FB529E">
      <w:pPr>
        <w:numPr>
          <w:ilvl w:val="1"/>
          <w:numId w:val="8"/>
        </w:numPr>
        <w:tabs>
          <w:tab w:val="left" w:pos="0"/>
        </w:tabs>
        <w:ind w:left="0"/>
        <w:jc w:val="both"/>
        <w:rPr>
          <w:sz w:val="20"/>
          <w:szCs w:val="20"/>
        </w:rPr>
      </w:pPr>
      <w:r>
        <w:rPr>
          <w:sz w:val="20"/>
          <w:szCs w:val="20"/>
        </w:rPr>
        <w:t>I</w:t>
      </w:r>
      <w:r w:rsidRPr="00B53A56">
        <w:rPr>
          <w:sz w:val="20"/>
          <w:szCs w:val="20"/>
        </w:rPr>
        <w:t xml:space="preserve">t is </w:t>
      </w:r>
      <w:r>
        <w:rPr>
          <w:sz w:val="20"/>
          <w:szCs w:val="20"/>
        </w:rPr>
        <w:t xml:space="preserve">a major concern that acute hospital expenditure to treat the number of patients requiring care up to May 2014 was €104.8 </w:t>
      </w:r>
      <w:r w:rsidRPr="00B53A56">
        <w:rPr>
          <w:sz w:val="20"/>
          <w:szCs w:val="20"/>
        </w:rPr>
        <w:t>million</w:t>
      </w:r>
      <w:r>
        <w:rPr>
          <w:sz w:val="20"/>
          <w:szCs w:val="20"/>
        </w:rPr>
        <w:t xml:space="preserve"> above the funding levels that hospitals have received. The resultant and renewed pressures from management to cut spending back to within budget limits in the months ahead will prevent the optimum use of existing facilities and increase the rationing of acute services for patients leading to longer waiting lists.</w:t>
      </w:r>
      <w:r w:rsidRPr="0021535A">
        <w:rPr>
          <w:sz w:val="20"/>
          <w:szCs w:val="20"/>
        </w:rPr>
        <w:t xml:space="preserve"> </w:t>
      </w:r>
      <w:r>
        <w:rPr>
          <w:sz w:val="20"/>
          <w:szCs w:val="20"/>
        </w:rPr>
        <w:t xml:space="preserve"> The comparable acute hospital overspend </w:t>
      </w:r>
      <w:r w:rsidRPr="0021535A">
        <w:rPr>
          <w:sz w:val="20"/>
          <w:szCs w:val="20"/>
        </w:rPr>
        <w:t>for t</w:t>
      </w:r>
      <w:r>
        <w:rPr>
          <w:sz w:val="20"/>
          <w:szCs w:val="20"/>
        </w:rPr>
        <w:t>he same period last year was €52.9</w:t>
      </w:r>
      <w:r w:rsidRPr="0021535A">
        <w:rPr>
          <w:sz w:val="20"/>
          <w:szCs w:val="20"/>
        </w:rPr>
        <w:t>m</w:t>
      </w:r>
      <w:r>
        <w:rPr>
          <w:rStyle w:val="FootnoteReference"/>
          <w:sz w:val="20"/>
          <w:szCs w:val="20"/>
        </w:rPr>
        <w:footnoteReference w:id="1"/>
      </w:r>
      <w:r>
        <w:rPr>
          <w:sz w:val="20"/>
          <w:szCs w:val="20"/>
        </w:rPr>
        <w:t xml:space="preserve"> highlighting increased underfunding in the current year due to effects of the repeated budget cuts</w:t>
      </w:r>
      <w:r w:rsidRPr="0021535A">
        <w:rPr>
          <w:sz w:val="20"/>
          <w:szCs w:val="20"/>
        </w:rPr>
        <w:t xml:space="preserve">.  </w:t>
      </w:r>
    </w:p>
    <w:p w:rsidR="00FB529E" w:rsidRDefault="00FB529E" w:rsidP="002C5675">
      <w:pPr>
        <w:tabs>
          <w:tab w:val="left" w:pos="960"/>
        </w:tabs>
        <w:rPr>
          <w:b/>
          <w:i/>
          <w:sz w:val="20"/>
          <w:szCs w:val="20"/>
        </w:rPr>
      </w:pPr>
    </w:p>
    <w:p w:rsidR="00FB529E" w:rsidRPr="001636B5" w:rsidRDefault="00FB529E" w:rsidP="002C5675">
      <w:pPr>
        <w:tabs>
          <w:tab w:val="left" w:pos="960"/>
        </w:tabs>
        <w:rPr>
          <w:b/>
          <w:i/>
          <w:sz w:val="20"/>
          <w:szCs w:val="20"/>
        </w:rPr>
      </w:pPr>
      <w:r>
        <w:rPr>
          <w:b/>
          <w:i/>
          <w:sz w:val="20"/>
          <w:szCs w:val="20"/>
        </w:rPr>
        <w:t>Figure 2</w:t>
      </w:r>
      <w:r w:rsidRPr="001636B5">
        <w:rPr>
          <w:b/>
          <w:i/>
          <w:sz w:val="20"/>
          <w:szCs w:val="20"/>
        </w:rPr>
        <w:t>:  Acute Hospital &amp; HSE Funding</w:t>
      </w:r>
      <w:r>
        <w:rPr>
          <w:b/>
          <w:i/>
          <w:sz w:val="20"/>
          <w:szCs w:val="20"/>
        </w:rPr>
        <w:t xml:space="preserve"> (January to May</w:t>
      </w:r>
      <w:r w:rsidRPr="001636B5">
        <w:rPr>
          <w:b/>
          <w:i/>
          <w:sz w:val="20"/>
          <w:szCs w:val="20"/>
        </w:rPr>
        <w:t xml:space="preserve"> 2014)</w:t>
      </w:r>
    </w:p>
    <w:p w:rsidR="00FB529E" w:rsidRDefault="00FB529E" w:rsidP="002C5675">
      <w:pPr>
        <w:tabs>
          <w:tab w:val="left" w:pos="0"/>
        </w:tabs>
        <w:rPr>
          <w:noProof/>
          <w:sz w:val="20"/>
          <w:szCs w:val="20"/>
        </w:rPr>
      </w:pPr>
      <w:r>
        <w:rPr>
          <w:noProof/>
          <w:sz w:val="20"/>
          <w:szCs w:val="20"/>
        </w:rPr>
        <w:object w:dxaOrig="8047" w:dyaOrig="4085">
          <v:shape id="_x0000_i1028" type="#_x0000_t75" style="width:378pt;height:191.25pt" o:ole="">
            <v:imagedata r:id="rId12" o:title=""/>
          </v:shape>
          <o:OLEObject Type="Embed" ProgID="Excel.Sheet.12" ShapeID="_x0000_i1028" DrawAspect="Content" ObjectID="_1472039975" r:id="rId13"/>
        </w:object>
      </w:r>
    </w:p>
    <w:p w:rsidR="00FB529E" w:rsidRPr="00B53A56" w:rsidRDefault="00FB529E" w:rsidP="002C5675">
      <w:pPr>
        <w:tabs>
          <w:tab w:val="left" w:pos="0"/>
        </w:tabs>
        <w:rPr>
          <w:sz w:val="20"/>
          <w:szCs w:val="20"/>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42"/>
        <w:gridCol w:w="1276"/>
        <w:gridCol w:w="1276"/>
        <w:gridCol w:w="1275"/>
        <w:gridCol w:w="1451"/>
      </w:tblGrid>
      <w:tr w:rsidR="00FB529E" w:rsidRPr="00C044DC" w:rsidTr="006E10CC">
        <w:trPr>
          <w:trHeight w:val="613"/>
        </w:trPr>
        <w:tc>
          <w:tcPr>
            <w:tcW w:w="1985" w:type="dxa"/>
            <w:shd w:val="clear" w:color="auto" w:fill="auto"/>
            <w:vAlign w:val="center"/>
          </w:tcPr>
          <w:p w:rsidR="00FB529E" w:rsidRPr="00C044DC" w:rsidRDefault="00FB529E" w:rsidP="00AF641B">
            <w:pPr>
              <w:tabs>
                <w:tab w:val="left" w:pos="960"/>
              </w:tabs>
              <w:jc w:val="center"/>
              <w:rPr>
                <w:rFonts w:ascii="Cambria" w:hAnsi="Cambria"/>
                <w:sz w:val="18"/>
                <w:szCs w:val="18"/>
              </w:rPr>
            </w:pPr>
          </w:p>
        </w:tc>
        <w:tc>
          <w:tcPr>
            <w:tcW w:w="1242" w:type="dxa"/>
            <w:shd w:val="clear" w:color="auto" w:fill="auto"/>
            <w:vAlign w:val="center"/>
          </w:tcPr>
          <w:p w:rsidR="00FB529E" w:rsidRDefault="00FB529E" w:rsidP="00AF641B">
            <w:pPr>
              <w:tabs>
                <w:tab w:val="left" w:pos="960"/>
              </w:tabs>
              <w:jc w:val="center"/>
              <w:rPr>
                <w:rFonts w:ascii="Cambria" w:hAnsi="Cambria"/>
                <w:b/>
                <w:sz w:val="18"/>
                <w:szCs w:val="18"/>
              </w:rPr>
            </w:pPr>
            <w:r>
              <w:rPr>
                <w:rFonts w:ascii="Cambria" w:hAnsi="Cambria"/>
                <w:b/>
                <w:sz w:val="18"/>
                <w:szCs w:val="18"/>
              </w:rPr>
              <w:t>Jan 14</w:t>
            </w:r>
          </w:p>
          <w:p w:rsidR="00FB529E" w:rsidRDefault="00FB529E" w:rsidP="00AF641B">
            <w:pPr>
              <w:tabs>
                <w:tab w:val="left" w:pos="960"/>
              </w:tabs>
              <w:jc w:val="center"/>
              <w:rPr>
                <w:rFonts w:ascii="Cambria" w:hAnsi="Cambria"/>
                <w:b/>
                <w:sz w:val="18"/>
                <w:szCs w:val="18"/>
              </w:rPr>
            </w:pPr>
          </w:p>
          <w:p w:rsidR="00FB529E" w:rsidRPr="00C044DC" w:rsidRDefault="00FB529E" w:rsidP="00AF641B">
            <w:pPr>
              <w:tabs>
                <w:tab w:val="left" w:pos="960"/>
              </w:tabs>
              <w:jc w:val="center"/>
              <w:rPr>
                <w:rFonts w:ascii="Cambria" w:hAnsi="Cambria"/>
                <w:b/>
                <w:sz w:val="18"/>
                <w:szCs w:val="18"/>
              </w:rPr>
            </w:pPr>
            <w:r>
              <w:rPr>
                <w:rFonts w:ascii="Cambria" w:hAnsi="Cambria"/>
                <w:b/>
                <w:sz w:val="18"/>
                <w:szCs w:val="18"/>
              </w:rPr>
              <w:t>€000’s</w:t>
            </w:r>
          </w:p>
        </w:tc>
        <w:tc>
          <w:tcPr>
            <w:tcW w:w="1276" w:type="dxa"/>
            <w:shd w:val="clear" w:color="auto" w:fill="auto"/>
            <w:vAlign w:val="center"/>
          </w:tcPr>
          <w:p w:rsidR="00FB529E" w:rsidRDefault="00FB529E" w:rsidP="00AF641B">
            <w:pPr>
              <w:tabs>
                <w:tab w:val="left" w:pos="960"/>
              </w:tabs>
              <w:jc w:val="center"/>
              <w:rPr>
                <w:rFonts w:ascii="Cambria" w:hAnsi="Cambria"/>
                <w:b/>
                <w:sz w:val="18"/>
                <w:szCs w:val="18"/>
              </w:rPr>
            </w:pPr>
            <w:r>
              <w:rPr>
                <w:rFonts w:ascii="Cambria" w:hAnsi="Cambria"/>
                <w:b/>
                <w:sz w:val="18"/>
                <w:szCs w:val="18"/>
              </w:rPr>
              <w:t>Feb 14</w:t>
            </w:r>
          </w:p>
          <w:p w:rsidR="00FB529E" w:rsidRDefault="00FB529E" w:rsidP="00AF641B">
            <w:pPr>
              <w:tabs>
                <w:tab w:val="left" w:pos="960"/>
              </w:tabs>
              <w:jc w:val="center"/>
              <w:rPr>
                <w:rFonts w:ascii="Cambria" w:hAnsi="Cambria"/>
                <w:b/>
                <w:sz w:val="18"/>
                <w:szCs w:val="18"/>
              </w:rPr>
            </w:pPr>
          </w:p>
          <w:p w:rsidR="00FB529E" w:rsidRPr="00C044DC" w:rsidRDefault="00FB529E" w:rsidP="00AF641B">
            <w:pPr>
              <w:tabs>
                <w:tab w:val="left" w:pos="960"/>
              </w:tabs>
              <w:jc w:val="center"/>
              <w:rPr>
                <w:rFonts w:ascii="Cambria" w:hAnsi="Cambria"/>
                <w:b/>
                <w:sz w:val="18"/>
                <w:szCs w:val="18"/>
              </w:rPr>
            </w:pPr>
            <w:r>
              <w:rPr>
                <w:rFonts w:ascii="Cambria" w:hAnsi="Cambria"/>
                <w:b/>
                <w:sz w:val="18"/>
                <w:szCs w:val="18"/>
              </w:rPr>
              <w:t>€000’s</w:t>
            </w:r>
          </w:p>
        </w:tc>
        <w:tc>
          <w:tcPr>
            <w:tcW w:w="1276" w:type="dxa"/>
            <w:tcBorders>
              <w:bottom w:val="single" w:sz="4" w:space="0" w:color="auto"/>
              <w:right w:val="single" w:sz="4" w:space="0" w:color="auto"/>
            </w:tcBorders>
            <w:shd w:val="clear" w:color="auto" w:fill="auto"/>
            <w:vAlign w:val="center"/>
          </w:tcPr>
          <w:p w:rsidR="00FB529E" w:rsidRDefault="00FB529E" w:rsidP="00AF641B">
            <w:pPr>
              <w:tabs>
                <w:tab w:val="left" w:pos="960"/>
              </w:tabs>
              <w:jc w:val="center"/>
              <w:rPr>
                <w:rFonts w:ascii="Cambria" w:hAnsi="Cambria"/>
                <w:b/>
                <w:sz w:val="18"/>
                <w:szCs w:val="18"/>
              </w:rPr>
            </w:pPr>
            <w:r>
              <w:rPr>
                <w:rFonts w:ascii="Cambria" w:hAnsi="Cambria"/>
                <w:b/>
                <w:sz w:val="18"/>
                <w:szCs w:val="18"/>
              </w:rPr>
              <w:t>Mar 14</w:t>
            </w:r>
          </w:p>
          <w:p w:rsidR="00FB529E" w:rsidRDefault="00FB529E" w:rsidP="00AF641B">
            <w:pPr>
              <w:tabs>
                <w:tab w:val="left" w:pos="960"/>
              </w:tabs>
              <w:jc w:val="center"/>
              <w:rPr>
                <w:rFonts w:ascii="Cambria" w:hAnsi="Cambria"/>
                <w:b/>
                <w:sz w:val="18"/>
                <w:szCs w:val="18"/>
              </w:rPr>
            </w:pPr>
          </w:p>
          <w:p w:rsidR="00FB529E" w:rsidRPr="0013263C" w:rsidRDefault="00FB529E" w:rsidP="00AF641B">
            <w:pPr>
              <w:tabs>
                <w:tab w:val="left" w:pos="960"/>
              </w:tabs>
              <w:jc w:val="center"/>
              <w:rPr>
                <w:rFonts w:ascii="Cambria" w:hAnsi="Cambria"/>
                <w:b/>
                <w:sz w:val="18"/>
                <w:szCs w:val="18"/>
              </w:rPr>
            </w:pPr>
            <w:r>
              <w:rPr>
                <w:rFonts w:ascii="Cambria" w:hAnsi="Cambria"/>
                <w:b/>
                <w:sz w:val="18"/>
                <w:szCs w:val="18"/>
              </w:rPr>
              <w:t>€000’s</w:t>
            </w:r>
          </w:p>
        </w:tc>
        <w:tc>
          <w:tcPr>
            <w:tcW w:w="1275" w:type="dxa"/>
            <w:tcBorders>
              <w:left w:val="single" w:sz="4" w:space="0" w:color="auto"/>
              <w:right w:val="single" w:sz="2" w:space="0" w:color="17365D"/>
            </w:tcBorders>
            <w:vAlign w:val="center"/>
          </w:tcPr>
          <w:p w:rsidR="00FB529E" w:rsidRDefault="00FB529E" w:rsidP="00AF641B">
            <w:pPr>
              <w:tabs>
                <w:tab w:val="left" w:pos="960"/>
              </w:tabs>
              <w:jc w:val="center"/>
              <w:rPr>
                <w:rFonts w:ascii="Cambria" w:hAnsi="Cambria"/>
                <w:b/>
                <w:sz w:val="18"/>
                <w:szCs w:val="18"/>
              </w:rPr>
            </w:pPr>
            <w:r>
              <w:rPr>
                <w:rFonts w:ascii="Cambria" w:hAnsi="Cambria"/>
                <w:b/>
                <w:sz w:val="18"/>
                <w:szCs w:val="18"/>
              </w:rPr>
              <w:t xml:space="preserve">April </w:t>
            </w:r>
            <w:r w:rsidRPr="0013263C">
              <w:rPr>
                <w:rFonts w:ascii="Cambria" w:hAnsi="Cambria"/>
                <w:b/>
                <w:sz w:val="18"/>
                <w:szCs w:val="18"/>
              </w:rPr>
              <w:t>14</w:t>
            </w:r>
          </w:p>
          <w:p w:rsidR="00FB529E" w:rsidRDefault="00FB529E" w:rsidP="00AF641B">
            <w:pPr>
              <w:tabs>
                <w:tab w:val="left" w:pos="960"/>
              </w:tabs>
              <w:jc w:val="center"/>
              <w:rPr>
                <w:rFonts w:ascii="Cambria" w:hAnsi="Cambria"/>
                <w:b/>
                <w:sz w:val="18"/>
                <w:szCs w:val="18"/>
              </w:rPr>
            </w:pPr>
          </w:p>
          <w:p w:rsidR="00FB529E" w:rsidRPr="0013263C" w:rsidRDefault="00FB529E" w:rsidP="00AF641B">
            <w:pPr>
              <w:tabs>
                <w:tab w:val="left" w:pos="960"/>
              </w:tabs>
              <w:jc w:val="center"/>
              <w:rPr>
                <w:rFonts w:ascii="Cambria" w:hAnsi="Cambria"/>
                <w:b/>
                <w:sz w:val="18"/>
                <w:szCs w:val="18"/>
              </w:rPr>
            </w:pPr>
            <w:r>
              <w:rPr>
                <w:rFonts w:ascii="Cambria" w:hAnsi="Cambria"/>
                <w:b/>
                <w:sz w:val="18"/>
                <w:szCs w:val="18"/>
              </w:rPr>
              <w:t>€000’s</w:t>
            </w:r>
          </w:p>
        </w:tc>
        <w:tc>
          <w:tcPr>
            <w:tcW w:w="1451" w:type="dxa"/>
            <w:tcBorders>
              <w:left w:val="single" w:sz="2" w:space="0" w:color="17365D"/>
              <w:right w:val="single" w:sz="2" w:space="0" w:color="17365D"/>
            </w:tcBorders>
            <w:vAlign w:val="center"/>
          </w:tcPr>
          <w:p w:rsidR="00FB529E" w:rsidRDefault="00FB529E" w:rsidP="00AF641B">
            <w:pPr>
              <w:tabs>
                <w:tab w:val="left" w:pos="960"/>
              </w:tabs>
              <w:jc w:val="center"/>
              <w:rPr>
                <w:rFonts w:ascii="Cambria" w:hAnsi="Cambria"/>
                <w:b/>
                <w:sz w:val="18"/>
                <w:szCs w:val="18"/>
              </w:rPr>
            </w:pPr>
            <w:r>
              <w:rPr>
                <w:rFonts w:ascii="Cambria" w:hAnsi="Cambria"/>
                <w:b/>
                <w:sz w:val="18"/>
                <w:szCs w:val="18"/>
              </w:rPr>
              <w:t>May 14</w:t>
            </w:r>
          </w:p>
          <w:p w:rsidR="00FB529E" w:rsidRDefault="00FB529E" w:rsidP="00AF641B">
            <w:pPr>
              <w:tabs>
                <w:tab w:val="left" w:pos="960"/>
              </w:tabs>
              <w:jc w:val="center"/>
              <w:rPr>
                <w:rFonts w:ascii="Cambria" w:hAnsi="Cambria"/>
                <w:b/>
                <w:sz w:val="18"/>
                <w:szCs w:val="18"/>
              </w:rPr>
            </w:pPr>
          </w:p>
          <w:p w:rsidR="00FB529E" w:rsidRPr="0013263C" w:rsidRDefault="00FB529E" w:rsidP="00AF641B">
            <w:pPr>
              <w:tabs>
                <w:tab w:val="left" w:pos="960"/>
              </w:tabs>
              <w:jc w:val="center"/>
              <w:rPr>
                <w:rFonts w:ascii="Cambria" w:hAnsi="Cambria"/>
                <w:b/>
                <w:sz w:val="18"/>
                <w:szCs w:val="18"/>
              </w:rPr>
            </w:pPr>
            <w:r>
              <w:rPr>
                <w:rFonts w:ascii="Cambria" w:hAnsi="Cambria"/>
                <w:b/>
                <w:sz w:val="18"/>
                <w:szCs w:val="18"/>
              </w:rPr>
              <w:t>€000’s</w:t>
            </w:r>
          </w:p>
        </w:tc>
      </w:tr>
      <w:tr w:rsidR="00FB529E" w:rsidRPr="00C044DC" w:rsidTr="0049305C">
        <w:trPr>
          <w:trHeight w:val="518"/>
        </w:trPr>
        <w:tc>
          <w:tcPr>
            <w:tcW w:w="1985" w:type="dxa"/>
            <w:tcBorders>
              <w:top w:val="single" w:sz="18" w:space="0" w:color="17365D"/>
            </w:tcBorders>
            <w:shd w:val="clear" w:color="auto" w:fill="auto"/>
            <w:vAlign w:val="center"/>
          </w:tcPr>
          <w:p w:rsidR="00FB529E" w:rsidRPr="00D0461D" w:rsidRDefault="00FB529E" w:rsidP="00AF641B">
            <w:pPr>
              <w:pStyle w:val="ListParagraph"/>
              <w:ind w:left="0"/>
              <w:jc w:val="center"/>
              <w:rPr>
                <w:b/>
                <w:sz w:val="16"/>
                <w:szCs w:val="16"/>
                <w:lang w:val="en-GB"/>
              </w:rPr>
            </w:pPr>
            <w:r w:rsidRPr="00D0461D">
              <w:rPr>
                <w:b/>
                <w:sz w:val="16"/>
                <w:szCs w:val="16"/>
                <w:lang w:val="en-GB"/>
              </w:rPr>
              <w:t xml:space="preserve">Total </w:t>
            </w:r>
            <w:r>
              <w:rPr>
                <w:b/>
                <w:sz w:val="16"/>
                <w:szCs w:val="16"/>
                <w:lang w:val="en-GB"/>
              </w:rPr>
              <w:t xml:space="preserve"> Acute </w:t>
            </w:r>
            <w:r w:rsidRPr="00D0461D">
              <w:rPr>
                <w:b/>
                <w:sz w:val="16"/>
                <w:szCs w:val="16"/>
                <w:lang w:val="en-GB"/>
              </w:rPr>
              <w:t>Hospital Deficit</w:t>
            </w:r>
          </w:p>
        </w:tc>
        <w:tc>
          <w:tcPr>
            <w:tcW w:w="1242" w:type="dxa"/>
            <w:tcBorders>
              <w:top w:val="single" w:sz="18" w:space="0" w:color="17365D"/>
            </w:tcBorders>
            <w:shd w:val="clear" w:color="auto" w:fill="auto"/>
            <w:vAlign w:val="center"/>
          </w:tcPr>
          <w:p w:rsidR="00FB529E" w:rsidRPr="00D0461D" w:rsidRDefault="00FB529E" w:rsidP="00AF641B">
            <w:pPr>
              <w:keepNext/>
              <w:jc w:val="center"/>
              <w:rPr>
                <w:sz w:val="16"/>
                <w:szCs w:val="16"/>
                <w:lang w:val="en-GB"/>
              </w:rPr>
            </w:pPr>
            <w:r>
              <w:rPr>
                <w:sz w:val="16"/>
                <w:szCs w:val="16"/>
                <w:lang w:val="en-GB"/>
              </w:rPr>
              <w:t>20,300</w:t>
            </w:r>
          </w:p>
        </w:tc>
        <w:tc>
          <w:tcPr>
            <w:tcW w:w="1276" w:type="dxa"/>
            <w:tcBorders>
              <w:top w:val="single" w:sz="18" w:space="0" w:color="17365D"/>
            </w:tcBorders>
            <w:shd w:val="clear" w:color="auto" w:fill="auto"/>
            <w:vAlign w:val="center"/>
          </w:tcPr>
          <w:p w:rsidR="00FB529E" w:rsidRPr="00D0461D" w:rsidRDefault="00FB529E" w:rsidP="00AF641B">
            <w:pPr>
              <w:keepNext/>
              <w:jc w:val="center"/>
              <w:rPr>
                <w:sz w:val="16"/>
                <w:szCs w:val="16"/>
                <w:lang w:val="en-GB"/>
              </w:rPr>
            </w:pPr>
            <w:r>
              <w:rPr>
                <w:sz w:val="16"/>
                <w:szCs w:val="16"/>
                <w:lang w:val="en-GB"/>
              </w:rPr>
              <w:t>39,500</w:t>
            </w:r>
          </w:p>
        </w:tc>
        <w:tc>
          <w:tcPr>
            <w:tcW w:w="1276" w:type="dxa"/>
            <w:tcBorders>
              <w:top w:val="single" w:sz="18" w:space="0" w:color="17365D"/>
              <w:right w:val="single" w:sz="4" w:space="0" w:color="auto"/>
            </w:tcBorders>
            <w:shd w:val="clear" w:color="auto" w:fill="auto"/>
            <w:vAlign w:val="center"/>
          </w:tcPr>
          <w:p w:rsidR="00FB529E" w:rsidRPr="006059CD" w:rsidRDefault="00FB529E" w:rsidP="00AF641B">
            <w:pPr>
              <w:keepNext/>
              <w:jc w:val="center"/>
              <w:rPr>
                <w:sz w:val="16"/>
                <w:szCs w:val="16"/>
                <w:lang w:val="en-GB"/>
              </w:rPr>
            </w:pPr>
            <w:r w:rsidRPr="006059CD">
              <w:rPr>
                <w:sz w:val="16"/>
                <w:szCs w:val="16"/>
                <w:lang w:val="en-GB"/>
              </w:rPr>
              <w:t>63,400</w:t>
            </w:r>
          </w:p>
        </w:tc>
        <w:tc>
          <w:tcPr>
            <w:tcW w:w="1275" w:type="dxa"/>
            <w:tcBorders>
              <w:top w:val="single" w:sz="18" w:space="0" w:color="17365D"/>
              <w:left w:val="single" w:sz="4" w:space="0" w:color="auto"/>
              <w:right w:val="single" w:sz="2" w:space="0" w:color="17365D"/>
            </w:tcBorders>
            <w:vAlign w:val="center"/>
          </w:tcPr>
          <w:p w:rsidR="00FB529E" w:rsidRPr="00A06D15" w:rsidRDefault="00FB529E" w:rsidP="00AF641B">
            <w:pPr>
              <w:jc w:val="center"/>
              <w:rPr>
                <w:sz w:val="16"/>
                <w:szCs w:val="16"/>
                <w:lang w:val="en-GB"/>
              </w:rPr>
            </w:pPr>
            <w:r>
              <w:rPr>
                <w:sz w:val="16"/>
                <w:szCs w:val="16"/>
                <w:lang w:val="en-GB"/>
              </w:rPr>
              <w:t>81,200</w:t>
            </w:r>
          </w:p>
        </w:tc>
        <w:tc>
          <w:tcPr>
            <w:tcW w:w="1451" w:type="dxa"/>
            <w:tcBorders>
              <w:top w:val="single" w:sz="18" w:space="0" w:color="17365D"/>
              <w:left w:val="single" w:sz="2" w:space="0" w:color="17365D"/>
              <w:right w:val="single" w:sz="2" w:space="0" w:color="17365D"/>
            </w:tcBorders>
            <w:vAlign w:val="center"/>
          </w:tcPr>
          <w:p w:rsidR="00FB529E" w:rsidRPr="006059CD" w:rsidRDefault="00FB529E" w:rsidP="00AF641B">
            <w:pPr>
              <w:jc w:val="center"/>
              <w:rPr>
                <w:sz w:val="16"/>
                <w:szCs w:val="16"/>
                <w:lang w:val="en-GB"/>
              </w:rPr>
            </w:pPr>
            <w:r>
              <w:rPr>
                <w:sz w:val="16"/>
                <w:szCs w:val="16"/>
                <w:lang w:val="en-GB"/>
              </w:rPr>
              <w:t>104,800</w:t>
            </w:r>
          </w:p>
        </w:tc>
      </w:tr>
      <w:tr w:rsidR="00FB529E" w:rsidRPr="00C044DC" w:rsidTr="0049305C">
        <w:trPr>
          <w:trHeight w:val="449"/>
        </w:trPr>
        <w:tc>
          <w:tcPr>
            <w:tcW w:w="1985" w:type="dxa"/>
            <w:tcBorders>
              <w:bottom w:val="single" w:sz="18" w:space="0" w:color="17365D"/>
            </w:tcBorders>
            <w:shd w:val="clear" w:color="auto" w:fill="auto"/>
            <w:vAlign w:val="center"/>
          </w:tcPr>
          <w:p w:rsidR="00FB529E" w:rsidRPr="00D0461D" w:rsidRDefault="00FB529E" w:rsidP="00AF641B">
            <w:pPr>
              <w:pStyle w:val="ListParagraph"/>
              <w:ind w:left="0"/>
              <w:jc w:val="center"/>
              <w:rPr>
                <w:b/>
                <w:sz w:val="16"/>
                <w:szCs w:val="16"/>
                <w:lang w:val="en-GB"/>
              </w:rPr>
            </w:pPr>
            <w:r w:rsidRPr="00D0461D">
              <w:rPr>
                <w:b/>
                <w:sz w:val="16"/>
                <w:szCs w:val="16"/>
                <w:lang w:val="en-GB"/>
              </w:rPr>
              <w:t>Total HSE Budget</w:t>
            </w:r>
            <w:r>
              <w:rPr>
                <w:b/>
                <w:sz w:val="16"/>
                <w:szCs w:val="16"/>
                <w:lang w:val="en-GB"/>
              </w:rPr>
              <w:t xml:space="preserve"> Deficit</w:t>
            </w:r>
          </w:p>
        </w:tc>
        <w:tc>
          <w:tcPr>
            <w:tcW w:w="1242" w:type="dxa"/>
            <w:tcBorders>
              <w:bottom w:val="single" w:sz="18" w:space="0" w:color="17365D"/>
            </w:tcBorders>
            <w:shd w:val="clear" w:color="auto" w:fill="auto"/>
            <w:vAlign w:val="center"/>
          </w:tcPr>
          <w:p w:rsidR="00FB529E" w:rsidRPr="00D0461D" w:rsidRDefault="00FB529E" w:rsidP="00AF641B">
            <w:pPr>
              <w:keepNext/>
              <w:jc w:val="center"/>
              <w:rPr>
                <w:sz w:val="16"/>
                <w:szCs w:val="16"/>
                <w:lang w:val="en-GB"/>
              </w:rPr>
            </w:pPr>
            <w:r>
              <w:rPr>
                <w:sz w:val="16"/>
                <w:szCs w:val="16"/>
                <w:lang w:val="en-GB"/>
              </w:rPr>
              <w:t>24,500</w:t>
            </w:r>
          </w:p>
        </w:tc>
        <w:tc>
          <w:tcPr>
            <w:tcW w:w="1276" w:type="dxa"/>
            <w:tcBorders>
              <w:bottom w:val="single" w:sz="18" w:space="0" w:color="17365D"/>
            </w:tcBorders>
            <w:shd w:val="clear" w:color="auto" w:fill="auto"/>
            <w:vAlign w:val="center"/>
          </w:tcPr>
          <w:p w:rsidR="00FB529E" w:rsidRPr="00D0461D" w:rsidRDefault="00FB529E" w:rsidP="00AF641B">
            <w:pPr>
              <w:keepNext/>
              <w:jc w:val="center"/>
              <w:rPr>
                <w:sz w:val="16"/>
                <w:szCs w:val="16"/>
                <w:lang w:val="en-GB"/>
              </w:rPr>
            </w:pPr>
            <w:r>
              <w:rPr>
                <w:sz w:val="16"/>
                <w:szCs w:val="16"/>
                <w:lang w:val="en-GB"/>
              </w:rPr>
              <w:t>54,800</w:t>
            </w:r>
          </w:p>
        </w:tc>
        <w:tc>
          <w:tcPr>
            <w:tcW w:w="1276" w:type="dxa"/>
            <w:tcBorders>
              <w:bottom w:val="single" w:sz="18" w:space="0" w:color="17365D"/>
              <w:right w:val="single" w:sz="4" w:space="0" w:color="auto"/>
            </w:tcBorders>
            <w:shd w:val="clear" w:color="auto" w:fill="auto"/>
            <w:vAlign w:val="center"/>
          </w:tcPr>
          <w:p w:rsidR="00FB529E" w:rsidRPr="007B3EBB" w:rsidRDefault="00FB529E" w:rsidP="00AF641B">
            <w:pPr>
              <w:keepNext/>
              <w:jc w:val="center"/>
              <w:rPr>
                <w:sz w:val="16"/>
                <w:szCs w:val="16"/>
                <w:lang w:val="en-GB"/>
              </w:rPr>
            </w:pPr>
            <w:r w:rsidRPr="007B3EBB">
              <w:rPr>
                <w:sz w:val="16"/>
                <w:szCs w:val="16"/>
                <w:lang w:val="en-GB"/>
              </w:rPr>
              <w:t>80,400</w:t>
            </w:r>
          </w:p>
        </w:tc>
        <w:tc>
          <w:tcPr>
            <w:tcW w:w="1275" w:type="dxa"/>
            <w:tcBorders>
              <w:left w:val="single" w:sz="4" w:space="0" w:color="auto"/>
              <w:bottom w:val="single" w:sz="18" w:space="0" w:color="17365D"/>
              <w:right w:val="single" w:sz="2" w:space="0" w:color="17365D"/>
            </w:tcBorders>
            <w:vAlign w:val="center"/>
          </w:tcPr>
          <w:p w:rsidR="00FB529E" w:rsidRPr="00A06D15" w:rsidRDefault="00FB529E" w:rsidP="00AF641B">
            <w:pPr>
              <w:jc w:val="center"/>
              <w:rPr>
                <w:sz w:val="16"/>
                <w:szCs w:val="16"/>
                <w:lang w:val="en-GB"/>
              </w:rPr>
            </w:pPr>
            <w:r>
              <w:rPr>
                <w:sz w:val="16"/>
                <w:szCs w:val="16"/>
                <w:lang w:val="en-GB"/>
              </w:rPr>
              <w:t>107,500</w:t>
            </w:r>
          </w:p>
        </w:tc>
        <w:tc>
          <w:tcPr>
            <w:tcW w:w="1451" w:type="dxa"/>
            <w:tcBorders>
              <w:left w:val="single" w:sz="2" w:space="0" w:color="17365D"/>
              <w:bottom w:val="single" w:sz="18" w:space="0" w:color="17365D"/>
              <w:right w:val="single" w:sz="2" w:space="0" w:color="17365D"/>
            </w:tcBorders>
            <w:vAlign w:val="center"/>
          </w:tcPr>
          <w:p w:rsidR="00FB529E" w:rsidRPr="006059CD" w:rsidRDefault="00FB529E" w:rsidP="00AF641B">
            <w:pPr>
              <w:jc w:val="center"/>
              <w:rPr>
                <w:sz w:val="16"/>
                <w:szCs w:val="16"/>
                <w:lang w:val="en-GB"/>
              </w:rPr>
            </w:pPr>
            <w:r w:rsidRPr="006059CD">
              <w:rPr>
                <w:sz w:val="16"/>
                <w:szCs w:val="16"/>
                <w:lang w:val="en-GB"/>
              </w:rPr>
              <w:t>163,0</w:t>
            </w:r>
            <w:r>
              <w:rPr>
                <w:sz w:val="16"/>
                <w:szCs w:val="16"/>
                <w:lang w:val="en-GB"/>
              </w:rPr>
              <w:t>00</w:t>
            </w:r>
          </w:p>
        </w:tc>
      </w:tr>
    </w:tbl>
    <w:p w:rsidR="00FB529E" w:rsidRPr="002C5675" w:rsidRDefault="00FB529E" w:rsidP="002C5675">
      <w:pPr>
        <w:pStyle w:val="ListParagraph"/>
        <w:ind w:left="0"/>
        <w:rPr>
          <w:i/>
          <w:sz w:val="20"/>
          <w:szCs w:val="20"/>
        </w:rPr>
      </w:pPr>
      <w:r w:rsidRPr="00484024">
        <w:rPr>
          <w:i/>
          <w:sz w:val="20"/>
          <w:szCs w:val="20"/>
        </w:rPr>
        <w:t>Source:  HSE Performance Reports</w:t>
      </w:r>
      <w:r>
        <w:rPr>
          <w:i/>
          <w:sz w:val="20"/>
          <w:szCs w:val="20"/>
        </w:rPr>
        <w:t xml:space="preserve"> </w:t>
      </w:r>
    </w:p>
    <w:p w:rsidR="00FB529E" w:rsidRDefault="00FB529E" w:rsidP="008128E9">
      <w:pPr>
        <w:tabs>
          <w:tab w:val="left" w:pos="0"/>
        </w:tabs>
        <w:ind w:left="11"/>
        <w:rPr>
          <w:sz w:val="20"/>
          <w:szCs w:val="20"/>
        </w:rPr>
      </w:pPr>
    </w:p>
    <w:p w:rsidR="00FB529E" w:rsidRDefault="00FB529E" w:rsidP="00FB529E">
      <w:pPr>
        <w:numPr>
          <w:ilvl w:val="1"/>
          <w:numId w:val="8"/>
        </w:numPr>
        <w:ind w:left="0" w:hanging="426"/>
        <w:jc w:val="both"/>
        <w:rPr>
          <w:sz w:val="20"/>
          <w:szCs w:val="20"/>
        </w:rPr>
      </w:pPr>
      <w:r>
        <w:rPr>
          <w:sz w:val="20"/>
          <w:szCs w:val="20"/>
        </w:rPr>
        <w:t>The</w:t>
      </w:r>
      <w:r w:rsidRPr="008128E9">
        <w:rPr>
          <w:sz w:val="20"/>
          <w:szCs w:val="20"/>
        </w:rPr>
        <w:t xml:space="preserve"> overspends</w:t>
      </w:r>
      <w:r>
        <w:rPr>
          <w:sz w:val="20"/>
          <w:szCs w:val="20"/>
        </w:rPr>
        <w:t xml:space="preserve"> set out in Figure 2 reflect the fact that this year’s budget was not </w:t>
      </w:r>
      <w:r w:rsidRPr="008128E9">
        <w:rPr>
          <w:sz w:val="20"/>
          <w:szCs w:val="20"/>
        </w:rPr>
        <w:t>based on real</w:t>
      </w:r>
      <w:r>
        <w:rPr>
          <w:sz w:val="20"/>
          <w:szCs w:val="20"/>
        </w:rPr>
        <w:t>istic estimates of the</w:t>
      </w:r>
      <w:r w:rsidRPr="008128E9">
        <w:rPr>
          <w:sz w:val="20"/>
          <w:szCs w:val="20"/>
        </w:rPr>
        <w:t xml:space="preserve"> demand for acute</w:t>
      </w:r>
      <w:r>
        <w:rPr>
          <w:sz w:val="20"/>
          <w:szCs w:val="20"/>
        </w:rPr>
        <w:t xml:space="preserve"> hospital</w:t>
      </w:r>
      <w:r w:rsidRPr="008128E9">
        <w:rPr>
          <w:sz w:val="20"/>
          <w:szCs w:val="20"/>
        </w:rPr>
        <w:t xml:space="preserve"> services</w:t>
      </w:r>
      <w:r>
        <w:rPr>
          <w:sz w:val="20"/>
          <w:szCs w:val="20"/>
        </w:rPr>
        <w:t>. The delivery of care is being restricted due to the structural underfunding of frontline services and the deep budgetary cuts.</w:t>
      </w:r>
      <w:r w:rsidRPr="00D80226">
        <w:t xml:space="preserve"> </w:t>
      </w:r>
    </w:p>
    <w:p w:rsidR="00FB529E" w:rsidRDefault="00FB529E" w:rsidP="00D80226"/>
    <w:p w:rsidR="00FB529E" w:rsidRDefault="00FB529E" w:rsidP="00FB529E">
      <w:pPr>
        <w:numPr>
          <w:ilvl w:val="1"/>
          <w:numId w:val="8"/>
        </w:numPr>
        <w:tabs>
          <w:tab w:val="left" w:pos="0"/>
        </w:tabs>
        <w:ind w:left="0" w:hanging="426"/>
        <w:jc w:val="both"/>
        <w:rPr>
          <w:sz w:val="20"/>
          <w:szCs w:val="20"/>
        </w:rPr>
      </w:pPr>
      <w:r w:rsidRPr="00D80226">
        <w:rPr>
          <w:sz w:val="20"/>
          <w:szCs w:val="20"/>
        </w:rPr>
        <w:t>The total number of in-patients and day-case patients treated has increased from 1.2</w:t>
      </w:r>
      <w:r>
        <w:rPr>
          <w:sz w:val="20"/>
          <w:szCs w:val="20"/>
        </w:rPr>
        <w:t>0</w:t>
      </w:r>
      <w:r w:rsidRPr="00D80226">
        <w:rPr>
          <w:sz w:val="20"/>
          <w:szCs w:val="20"/>
        </w:rPr>
        <w:t xml:space="preserve"> million to 1.4</w:t>
      </w:r>
      <w:r>
        <w:rPr>
          <w:sz w:val="20"/>
          <w:szCs w:val="20"/>
        </w:rPr>
        <w:t>3 million (+19</w:t>
      </w:r>
      <w:r w:rsidRPr="00D80226">
        <w:rPr>
          <w:sz w:val="20"/>
          <w:szCs w:val="20"/>
        </w:rPr>
        <w:t>%)</w:t>
      </w:r>
      <w:r>
        <w:rPr>
          <w:sz w:val="20"/>
          <w:szCs w:val="20"/>
        </w:rPr>
        <w:t xml:space="preserve"> in the last 6 years, while </w:t>
      </w:r>
      <w:r w:rsidRPr="00D80226">
        <w:rPr>
          <w:sz w:val="20"/>
          <w:szCs w:val="20"/>
        </w:rPr>
        <w:t>acute hospital budget</w:t>
      </w:r>
      <w:r>
        <w:rPr>
          <w:sz w:val="20"/>
          <w:szCs w:val="20"/>
        </w:rPr>
        <w:t>s have</w:t>
      </w:r>
      <w:r w:rsidRPr="00D80226">
        <w:rPr>
          <w:sz w:val="20"/>
          <w:szCs w:val="20"/>
        </w:rPr>
        <w:t xml:space="preserve"> been cut from €4.6</w:t>
      </w:r>
      <w:r>
        <w:rPr>
          <w:sz w:val="20"/>
          <w:szCs w:val="20"/>
        </w:rPr>
        <w:t>6</w:t>
      </w:r>
      <w:r w:rsidRPr="00D80226">
        <w:rPr>
          <w:sz w:val="20"/>
          <w:szCs w:val="20"/>
        </w:rPr>
        <w:t xml:space="preserve"> to €3.8</w:t>
      </w:r>
      <w:r>
        <w:rPr>
          <w:sz w:val="20"/>
          <w:szCs w:val="20"/>
        </w:rPr>
        <w:t>6 billion (-17%).  In terms of productivity and efficiency gains between 2007 and 2013, this equates to a 44% increase in the number of patients treated per euro of acute hospital budget or equivalent to a 30% decrease in the average cost per patient during the same period</w:t>
      </w:r>
      <w:r w:rsidRPr="00D80226">
        <w:rPr>
          <w:sz w:val="20"/>
          <w:szCs w:val="20"/>
        </w:rPr>
        <w:t xml:space="preserve">. </w:t>
      </w:r>
      <w:r>
        <w:rPr>
          <w:sz w:val="20"/>
          <w:szCs w:val="20"/>
        </w:rPr>
        <w:t xml:space="preserve"> </w:t>
      </w:r>
      <w:r w:rsidRPr="00D80226">
        <w:rPr>
          <w:sz w:val="20"/>
          <w:szCs w:val="20"/>
        </w:rPr>
        <w:t>If a private enterprise had achieved similar improvements it would be acknowledged as an exceptional achievement in contrast with the repeated negative commentary on the performance of our acu</w:t>
      </w:r>
      <w:r>
        <w:rPr>
          <w:sz w:val="20"/>
          <w:szCs w:val="20"/>
        </w:rPr>
        <w:t>te health services in what are</w:t>
      </w:r>
      <w:r w:rsidRPr="00D80226">
        <w:rPr>
          <w:sz w:val="20"/>
          <w:szCs w:val="20"/>
        </w:rPr>
        <w:t xml:space="preserve"> extremely ch</w:t>
      </w:r>
      <w:r>
        <w:rPr>
          <w:sz w:val="20"/>
          <w:szCs w:val="20"/>
        </w:rPr>
        <w:t>allenging circumstances.</w:t>
      </w:r>
    </w:p>
    <w:p w:rsidR="00FB529E" w:rsidRDefault="00FB529E" w:rsidP="00D80226">
      <w:pPr>
        <w:tabs>
          <w:tab w:val="left" w:pos="0"/>
        </w:tabs>
        <w:rPr>
          <w:sz w:val="20"/>
          <w:szCs w:val="20"/>
        </w:rPr>
      </w:pPr>
    </w:p>
    <w:p w:rsidR="00FB529E" w:rsidRDefault="00FB529E" w:rsidP="00FB529E">
      <w:pPr>
        <w:numPr>
          <w:ilvl w:val="1"/>
          <w:numId w:val="8"/>
        </w:numPr>
        <w:tabs>
          <w:tab w:val="left" w:pos="0"/>
        </w:tabs>
        <w:ind w:left="0" w:hanging="437"/>
        <w:jc w:val="both"/>
        <w:rPr>
          <w:sz w:val="20"/>
          <w:szCs w:val="20"/>
        </w:rPr>
      </w:pPr>
      <w:r w:rsidRPr="006A7A36">
        <w:rPr>
          <w:sz w:val="20"/>
          <w:szCs w:val="20"/>
        </w:rPr>
        <w:t>In order to treat the number of patients presenting for care</w:t>
      </w:r>
      <w:r>
        <w:rPr>
          <w:sz w:val="20"/>
          <w:szCs w:val="20"/>
        </w:rPr>
        <w:t>,</w:t>
      </w:r>
      <w:r w:rsidRPr="006A7A36">
        <w:rPr>
          <w:sz w:val="20"/>
          <w:szCs w:val="20"/>
        </w:rPr>
        <w:t xml:space="preserve"> eight acute hospitals</w:t>
      </w:r>
      <w:r>
        <w:rPr>
          <w:sz w:val="20"/>
          <w:szCs w:val="20"/>
        </w:rPr>
        <w:t xml:space="preserve"> at the end of May</w:t>
      </w:r>
      <w:r w:rsidRPr="006A7A36">
        <w:rPr>
          <w:sz w:val="20"/>
          <w:szCs w:val="20"/>
        </w:rPr>
        <w:t xml:space="preserve"> were over budget by between 10% and 21% and many others were over budget by lower percentages as outlined in Table 1. It is not possible for those hospitals to cut spending to stay within</w:t>
      </w:r>
      <w:r>
        <w:rPr>
          <w:sz w:val="20"/>
          <w:szCs w:val="20"/>
        </w:rPr>
        <w:t xml:space="preserve"> their annual</w:t>
      </w:r>
      <w:r w:rsidRPr="006A7A36">
        <w:rPr>
          <w:sz w:val="20"/>
          <w:szCs w:val="20"/>
        </w:rPr>
        <w:t xml:space="preserve"> budget limits without extremely adverse consequences for the delivery of care to patients.</w:t>
      </w:r>
      <w:r>
        <w:rPr>
          <w:sz w:val="20"/>
          <w:szCs w:val="20"/>
        </w:rPr>
        <w:t xml:space="preserve"> Overall, 46 of the 49 acute hospitals were overspent in May</w:t>
      </w:r>
    </w:p>
    <w:p w:rsidR="00FB529E" w:rsidRDefault="00FB529E" w:rsidP="006A7A36">
      <w:pPr>
        <w:pStyle w:val="ListParagraph"/>
        <w:rPr>
          <w:sz w:val="20"/>
          <w:szCs w:val="20"/>
        </w:rPr>
      </w:pPr>
    </w:p>
    <w:p w:rsidR="00FB529E" w:rsidRPr="009D1BBD" w:rsidRDefault="00FB529E" w:rsidP="009D1BBD">
      <w:pPr>
        <w:tabs>
          <w:tab w:val="left" w:pos="960"/>
        </w:tabs>
        <w:rPr>
          <w:b/>
          <w:i/>
          <w:sz w:val="20"/>
          <w:szCs w:val="20"/>
        </w:rPr>
      </w:pPr>
      <w:r>
        <w:rPr>
          <w:b/>
          <w:i/>
          <w:sz w:val="20"/>
          <w:szCs w:val="20"/>
        </w:rPr>
        <w:t>Table 1:  Deficits per selected acute hospitals in May 2014.</w:t>
      </w:r>
    </w:p>
    <w:tbl>
      <w:tblPr>
        <w:tblW w:w="88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17"/>
        <w:gridCol w:w="1418"/>
        <w:gridCol w:w="1417"/>
        <w:gridCol w:w="1633"/>
      </w:tblGrid>
      <w:tr w:rsidR="00FB529E" w:rsidTr="008E3659">
        <w:tc>
          <w:tcPr>
            <w:tcW w:w="2977" w:type="dxa"/>
            <w:tcBorders>
              <w:top w:val="single" w:sz="4" w:space="0" w:color="auto"/>
              <w:left w:val="single" w:sz="4" w:space="0" w:color="auto"/>
              <w:bottom w:val="single" w:sz="18" w:space="0" w:color="auto"/>
              <w:right w:val="single" w:sz="18" w:space="0" w:color="auto"/>
            </w:tcBorders>
            <w:vAlign w:val="center"/>
            <w:hideMark/>
          </w:tcPr>
          <w:p w:rsidR="00FB529E" w:rsidRDefault="00FB529E" w:rsidP="001A672F">
            <w:pPr>
              <w:tabs>
                <w:tab w:val="left" w:pos="960"/>
              </w:tabs>
              <w:rPr>
                <w:rFonts w:ascii="Cambria" w:hAnsi="Cambria"/>
                <w:b/>
                <w:sz w:val="20"/>
                <w:szCs w:val="20"/>
              </w:rPr>
            </w:pPr>
            <w:r>
              <w:rPr>
                <w:rFonts w:ascii="Cambria" w:hAnsi="Cambria"/>
                <w:b/>
                <w:sz w:val="20"/>
                <w:szCs w:val="20"/>
              </w:rPr>
              <w:t>Hospital</w:t>
            </w:r>
          </w:p>
        </w:tc>
        <w:tc>
          <w:tcPr>
            <w:tcW w:w="1417" w:type="dxa"/>
            <w:tcBorders>
              <w:top w:val="single" w:sz="4" w:space="0" w:color="auto"/>
              <w:left w:val="single" w:sz="4" w:space="0" w:color="auto"/>
              <w:bottom w:val="single" w:sz="18" w:space="0" w:color="auto"/>
              <w:right w:val="single" w:sz="4" w:space="0" w:color="auto"/>
            </w:tcBorders>
            <w:vAlign w:val="center"/>
            <w:hideMark/>
          </w:tcPr>
          <w:p w:rsidR="00FB529E" w:rsidRDefault="00FB529E" w:rsidP="008E3659">
            <w:pPr>
              <w:tabs>
                <w:tab w:val="left" w:pos="960"/>
              </w:tabs>
              <w:jc w:val="right"/>
              <w:rPr>
                <w:rFonts w:ascii="Cambria" w:hAnsi="Cambria"/>
                <w:b/>
                <w:sz w:val="20"/>
                <w:szCs w:val="20"/>
              </w:rPr>
            </w:pPr>
            <w:r>
              <w:rPr>
                <w:rFonts w:ascii="Cambria" w:hAnsi="Cambria"/>
                <w:b/>
                <w:sz w:val="20"/>
                <w:szCs w:val="20"/>
              </w:rPr>
              <w:t>Actual</w:t>
            </w:r>
          </w:p>
          <w:p w:rsidR="00FB529E" w:rsidRDefault="00FB529E" w:rsidP="008E3659">
            <w:pPr>
              <w:tabs>
                <w:tab w:val="left" w:pos="960"/>
              </w:tabs>
              <w:jc w:val="right"/>
              <w:rPr>
                <w:rFonts w:ascii="Cambria" w:hAnsi="Cambria"/>
                <w:b/>
                <w:sz w:val="20"/>
                <w:szCs w:val="20"/>
              </w:rPr>
            </w:pPr>
          </w:p>
          <w:p w:rsidR="00FB529E" w:rsidRDefault="00FB529E" w:rsidP="008E3659">
            <w:pPr>
              <w:tabs>
                <w:tab w:val="left" w:pos="960"/>
              </w:tabs>
              <w:jc w:val="right"/>
              <w:rPr>
                <w:rFonts w:ascii="Cambria" w:hAnsi="Cambria"/>
                <w:b/>
                <w:sz w:val="20"/>
                <w:szCs w:val="20"/>
              </w:rPr>
            </w:pPr>
            <w:r>
              <w:rPr>
                <w:rFonts w:ascii="Cambria" w:hAnsi="Cambria"/>
                <w:b/>
                <w:sz w:val="20"/>
                <w:szCs w:val="20"/>
              </w:rPr>
              <w:t>€000’s</w:t>
            </w:r>
          </w:p>
        </w:tc>
        <w:tc>
          <w:tcPr>
            <w:tcW w:w="1418" w:type="dxa"/>
            <w:tcBorders>
              <w:top w:val="single" w:sz="4" w:space="0" w:color="auto"/>
              <w:left w:val="single" w:sz="4" w:space="0" w:color="auto"/>
              <w:bottom w:val="single" w:sz="18" w:space="0" w:color="auto"/>
              <w:right w:val="single" w:sz="4" w:space="0" w:color="auto"/>
            </w:tcBorders>
            <w:vAlign w:val="center"/>
            <w:hideMark/>
          </w:tcPr>
          <w:p w:rsidR="00FB529E" w:rsidRDefault="00FB529E" w:rsidP="008E3659">
            <w:pPr>
              <w:tabs>
                <w:tab w:val="left" w:pos="960"/>
              </w:tabs>
              <w:jc w:val="right"/>
              <w:rPr>
                <w:rFonts w:ascii="Cambria" w:hAnsi="Cambria"/>
                <w:b/>
                <w:sz w:val="20"/>
                <w:szCs w:val="20"/>
              </w:rPr>
            </w:pPr>
            <w:r>
              <w:rPr>
                <w:rFonts w:ascii="Cambria" w:hAnsi="Cambria"/>
                <w:b/>
                <w:sz w:val="20"/>
                <w:szCs w:val="20"/>
              </w:rPr>
              <w:t>Budget</w:t>
            </w:r>
          </w:p>
          <w:p w:rsidR="00FB529E" w:rsidRDefault="00FB529E" w:rsidP="008E3659">
            <w:pPr>
              <w:tabs>
                <w:tab w:val="left" w:pos="960"/>
              </w:tabs>
              <w:jc w:val="right"/>
              <w:rPr>
                <w:rFonts w:ascii="Cambria" w:hAnsi="Cambria"/>
                <w:b/>
                <w:sz w:val="20"/>
                <w:szCs w:val="20"/>
              </w:rPr>
            </w:pPr>
          </w:p>
          <w:p w:rsidR="00FB529E" w:rsidRDefault="00FB529E" w:rsidP="008E3659">
            <w:pPr>
              <w:tabs>
                <w:tab w:val="left" w:pos="960"/>
              </w:tabs>
              <w:jc w:val="right"/>
              <w:rPr>
                <w:rFonts w:ascii="Cambria" w:hAnsi="Cambria"/>
                <w:b/>
                <w:sz w:val="20"/>
                <w:szCs w:val="20"/>
              </w:rPr>
            </w:pPr>
            <w:r>
              <w:rPr>
                <w:rFonts w:ascii="Cambria" w:hAnsi="Cambria"/>
                <w:b/>
                <w:sz w:val="20"/>
                <w:szCs w:val="20"/>
              </w:rPr>
              <w:t>€000’s</w:t>
            </w:r>
          </w:p>
        </w:tc>
        <w:tc>
          <w:tcPr>
            <w:tcW w:w="1417" w:type="dxa"/>
            <w:tcBorders>
              <w:top w:val="single" w:sz="4" w:space="0" w:color="auto"/>
              <w:left w:val="single" w:sz="4" w:space="0" w:color="auto"/>
              <w:bottom w:val="single" w:sz="18" w:space="0" w:color="auto"/>
              <w:right w:val="single" w:sz="4" w:space="0" w:color="auto"/>
            </w:tcBorders>
            <w:vAlign w:val="center"/>
            <w:hideMark/>
          </w:tcPr>
          <w:p w:rsidR="00FB529E" w:rsidRDefault="00FB529E" w:rsidP="008E3659">
            <w:pPr>
              <w:tabs>
                <w:tab w:val="left" w:pos="960"/>
              </w:tabs>
              <w:jc w:val="right"/>
              <w:rPr>
                <w:rFonts w:ascii="Cambria" w:hAnsi="Cambria"/>
                <w:b/>
                <w:sz w:val="20"/>
                <w:szCs w:val="20"/>
              </w:rPr>
            </w:pPr>
            <w:r>
              <w:rPr>
                <w:rFonts w:ascii="Cambria" w:hAnsi="Cambria"/>
                <w:b/>
                <w:sz w:val="20"/>
                <w:szCs w:val="20"/>
              </w:rPr>
              <w:t>Variance</w:t>
            </w:r>
          </w:p>
          <w:p w:rsidR="00FB529E" w:rsidRDefault="00FB529E" w:rsidP="008E3659">
            <w:pPr>
              <w:tabs>
                <w:tab w:val="left" w:pos="960"/>
              </w:tabs>
              <w:jc w:val="right"/>
              <w:rPr>
                <w:rFonts w:ascii="Cambria" w:hAnsi="Cambria"/>
                <w:b/>
                <w:sz w:val="20"/>
                <w:szCs w:val="20"/>
              </w:rPr>
            </w:pPr>
          </w:p>
          <w:p w:rsidR="00FB529E" w:rsidRDefault="00FB529E" w:rsidP="008E3659">
            <w:pPr>
              <w:tabs>
                <w:tab w:val="left" w:pos="960"/>
              </w:tabs>
              <w:jc w:val="right"/>
              <w:rPr>
                <w:rFonts w:ascii="Cambria" w:hAnsi="Cambria"/>
                <w:b/>
                <w:sz w:val="20"/>
                <w:szCs w:val="20"/>
              </w:rPr>
            </w:pPr>
            <w:r>
              <w:rPr>
                <w:rFonts w:ascii="Cambria" w:hAnsi="Cambria"/>
                <w:b/>
                <w:sz w:val="20"/>
                <w:szCs w:val="20"/>
              </w:rPr>
              <w:t>€000’s</w:t>
            </w:r>
          </w:p>
        </w:tc>
        <w:tc>
          <w:tcPr>
            <w:tcW w:w="1633" w:type="dxa"/>
            <w:tcBorders>
              <w:top w:val="single" w:sz="4" w:space="0" w:color="auto"/>
              <w:left w:val="single" w:sz="4" w:space="0" w:color="auto"/>
              <w:bottom w:val="single" w:sz="18" w:space="0" w:color="auto"/>
              <w:right w:val="single" w:sz="12" w:space="0" w:color="auto"/>
            </w:tcBorders>
            <w:shd w:val="clear" w:color="auto" w:fill="C6D9F1"/>
            <w:vAlign w:val="center"/>
            <w:hideMark/>
          </w:tcPr>
          <w:p w:rsidR="00FB529E" w:rsidRDefault="00FB529E" w:rsidP="008E3659">
            <w:pPr>
              <w:tabs>
                <w:tab w:val="left" w:pos="960"/>
              </w:tabs>
              <w:jc w:val="right"/>
              <w:rPr>
                <w:rFonts w:ascii="Cambria" w:hAnsi="Cambria"/>
                <w:b/>
                <w:sz w:val="20"/>
                <w:szCs w:val="20"/>
              </w:rPr>
            </w:pPr>
            <w:r>
              <w:rPr>
                <w:rFonts w:ascii="Cambria" w:hAnsi="Cambria"/>
                <w:b/>
                <w:sz w:val="20"/>
                <w:szCs w:val="20"/>
              </w:rPr>
              <w:t>% Overspend</w:t>
            </w:r>
          </w:p>
        </w:tc>
      </w:tr>
      <w:tr w:rsidR="00FB529E" w:rsidTr="00C83392">
        <w:trPr>
          <w:trHeight w:val="596"/>
        </w:trPr>
        <w:tc>
          <w:tcPr>
            <w:tcW w:w="2977" w:type="dxa"/>
            <w:tcBorders>
              <w:top w:val="single" w:sz="4" w:space="0" w:color="auto"/>
              <w:left w:val="single" w:sz="4" w:space="0" w:color="auto"/>
              <w:bottom w:val="single" w:sz="4" w:space="0" w:color="auto"/>
              <w:right w:val="single" w:sz="18" w:space="0" w:color="auto"/>
            </w:tcBorders>
            <w:vAlign w:val="center"/>
            <w:hideMark/>
          </w:tcPr>
          <w:p w:rsidR="00FB529E" w:rsidRDefault="00FB529E" w:rsidP="001A672F">
            <w:pPr>
              <w:tabs>
                <w:tab w:val="left" w:pos="960"/>
              </w:tabs>
              <w:rPr>
                <w:rFonts w:ascii="Cambria" w:hAnsi="Cambria"/>
                <w:sz w:val="20"/>
                <w:szCs w:val="20"/>
              </w:rPr>
            </w:pPr>
            <w:r>
              <w:rPr>
                <w:rFonts w:ascii="Cambria" w:hAnsi="Cambria"/>
                <w:sz w:val="20"/>
                <w:szCs w:val="20"/>
              </w:rPr>
              <w:t>Portiuncula Hospital</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22,108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18,224</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3,884</w:t>
            </w:r>
          </w:p>
        </w:tc>
        <w:tc>
          <w:tcPr>
            <w:tcW w:w="1633" w:type="dxa"/>
            <w:tcBorders>
              <w:top w:val="single" w:sz="4" w:space="0" w:color="auto"/>
              <w:left w:val="single" w:sz="4" w:space="0" w:color="auto"/>
              <w:bottom w:val="single" w:sz="4" w:space="0" w:color="auto"/>
              <w:right w:val="single" w:sz="12"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21.3%</w:t>
            </w:r>
          </w:p>
        </w:tc>
      </w:tr>
      <w:tr w:rsidR="00FB529E" w:rsidTr="00461E68">
        <w:trPr>
          <w:trHeight w:val="521"/>
        </w:trPr>
        <w:tc>
          <w:tcPr>
            <w:tcW w:w="2977" w:type="dxa"/>
            <w:tcBorders>
              <w:top w:val="single" w:sz="4" w:space="0" w:color="auto"/>
              <w:left w:val="single" w:sz="4" w:space="0" w:color="auto"/>
              <w:bottom w:val="single" w:sz="4" w:space="0" w:color="auto"/>
              <w:right w:val="single" w:sz="18" w:space="0" w:color="auto"/>
            </w:tcBorders>
            <w:vAlign w:val="center"/>
            <w:hideMark/>
          </w:tcPr>
          <w:p w:rsidR="00FB529E" w:rsidRDefault="00FB529E" w:rsidP="001A672F">
            <w:pPr>
              <w:tabs>
                <w:tab w:val="left" w:pos="960"/>
              </w:tabs>
              <w:rPr>
                <w:rFonts w:ascii="Cambria" w:hAnsi="Cambria"/>
                <w:sz w:val="20"/>
                <w:szCs w:val="20"/>
              </w:rPr>
            </w:pPr>
            <w:r>
              <w:rPr>
                <w:rFonts w:ascii="Cambria" w:hAnsi="Cambria"/>
                <w:sz w:val="20"/>
                <w:szCs w:val="20"/>
              </w:rPr>
              <w:t>University Hospital Limerick</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73,630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62,409</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11,221</w:t>
            </w:r>
          </w:p>
        </w:tc>
        <w:tc>
          <w:tcPr>
            <w:tcW w:w="1633" w:type="dxa"/>
            <w:tcBorders>
              <w:top w:val="single" w:sz="4" w:space="0" w:color="auto"/>
              <w:left w:val="single" w:sz="4" w:space="0" w:color="auto"/>
              <w:bottom w:val="single" w:sz="4" w:space="0" w:color="auto"/>
              <w:right w:val="single" w:sz="12"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18%</w:t>
            </w:r>
          </w:p>
        </w:tc>
      </w:tr>
      <w:tr w:rsidR="00FB529E" w:rsidTr="00461E68">
        <w:trPr>
          <w:trHeight w:val="708"/>
        </w:trPr>
        <w:tc>
          <w:tcPr>
            <w:tcW w:w="2977" w:type="dxa"/>
            <w:tcBorders>
              <w:top w:val="single" w:sz="4" w:space="0" w:color="auto"/>
              <w:left w:val="single" w:sz="4" w:space="0" w:color="auto"/>
              <w:bottom w:val="single" w:sz="4" w:space="0" w:color="auto"/>
              <w:right w:val="single" w:sz="18" w:space="0" w:color="auto"/>
            </w:tcBorders>
            <w:vAlign w:val="center"/>
            <w:hideMark/>
          </w:tcPr>
          <w:p w:rsidR="00FB529E" w:rsidRDefault="00FB529E" w:rsidP="001A672F">
            <w:pPr>
              <w:tabs>
                <w:tab w:val="left" w:pos="960"/>
              </w:tabs>
              <w:rPr>
                <w:rFonts w:ascii="Cambria" w:hAnsi="Cambria"/>
                <w:sz w:val="20"/>
                <w:szCs w:val="20"/>
              </w:rPr>
            </w:pPr>
            <w:r>
              <w:rPr>
                <w:rFonts w:ascii="Cambria" w:hAnsi="Cambria"/>
                <w:sz w:val="20"/>
                <w:szCs w:val="20"/>
              </w:rPr>
              <w:t>South Tipperary General Hospital</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21,331</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18,099</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3,231</w:t>
            </w:r>
          </w:p>
        </w:tc>
        <w:tc>
          <w:tcPr>
            <w:tcW w:w="1633" w:type="dxa"/>
            <w:tcBorders>
              <w:top w:val="single" w:sz="4" w:space="0" w:color="auto"/>
              <w:left w:val="single" w:sz="4" w:space="0" w:color="auto"/>
              <w:bottom w:val="single" w:sz="4" w:space="0" w:color="auto"/>
              <w:right w:val="single" w:sz="12"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17.9%</w:t>
            </w:r>
          </w:p>
        </w:tc>
      </w:tr>
      <w:tr w:rsidR="00FB529E" w:rsidTr="00C83392">
        <w:trPr>
          <w:trHeight w:val="444"/>
        </w:trPr>
        <w:tc>
          <w:tcPr>
            <w:tcW w:w="2977" w:type="dxa"/>
            <w:tcBorders>
              <w:top w:val="single" w:sz="4" w:space="0" w:color="auto"/>
              <w:left w:val="single" w:sz="4" w:space="0" w:color="auto"/>
              <w:bottom w:val="single" w:sz="4" w:space="0" w:color="auto"/>
              <w:right w:val="single" w:sz="18" w:space="0" w:color="auto"/>
            </w:tcBorders>
            <w:vAlign w:val="center"/>
            <w:hideMark/>
          </w:tcPr>
          <w:p w:rsidR="00FB529E" w:rsidRDefault="00FB529E" w:rsidP="001A672F">
            <w:pPr>
              <w:tabs>
                <w:tab w:val="left" w:pos="960"/>
              </w:tabs>
              <w:rPr>
                <w:rFonts w:ascii="Cambria" w:hAnsi="Cambria"/>
                <w:sz w:val="20"/>
                <w:szCs w:val="20"/>
              </w:rPr>
            </w:pPr>
            <w:r>
              <w:rPr>
                <w:rFonts w:ascii="Cambria" w:hAnsi="Cambria"/>
                <w:sz w:val="20"/>
                <w:szCs w:val="20"/>
              </w:rPr>
              <w:t>Mercy University Hospital, Cork</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27,433</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23,276</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4,157</w:t>
            </w:r>
          </w:p>
        </w:tc>
        <w:tc>
          <w:tcPr>
            <w:tcW w:w="1633" w:type="dxa"/>
            <w:tcBorders>
              <w:top w:val="single" w:sz="4" w:space="0" w:color="auto"/>
              <w:left w:val="single" w:sz="4" w:space="0" w:color="auto"/>
              <w:bottom w:val="single" w:sz="4" w:space="0" w:color="auto"/>
              <w:right w:val="single" w:sz="12"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17.9%</w:t>
            </w:r>
          </w:p>
        </w:tc>
      </w:tr>
      <w:tr w:rsidR="00FB529E" w:rsidTr="00461E68">
        <w:trPr>
          <w:trHeight w:val="528"/>
        </w:trPr>
        <w:tc>
          <w:tcPr>
            <w:tcW w:w="2977" w:type="dxa"/>
            <w:tcBorders>
              <w:top w:val="single" w:sz="4" w:space="0" w:color="auto"/>
              <w:left w:val="single" w:sz="4" w:space="0" w:color="auto"/>
              <w:bottom w:val="single" w:sz="4" w:space="0" w:color="auto"/>
              <w:right w:val="single" w:sz="18" w:space="0" w:color="auto"/>
            </w:tcBorders>
            <w:vAlign w:val="center"/>
            <w:hideMark/>
          </w:tcPr>
          <w:p w:rsidR="00FB529E" w:rsidRDefault="00FB529E" w:rsidP="001A672F">
            <w:pPr>
              <w:tabs>
                <w:tab w:val="left" w:pos="960"/>
              </w:tabs>
              <w:rPr>
                <w:rFonts w:ascii="Cambria" w:hAnsi="Cambria"/>
                <w:sz w:val="20"/>
                <w:szCs w:val="20"/>
              </w:rPr>
            </w:pPr>
            <w:r>
              <w:rPr>
                <w:rFonts w:ascii="Cambria" w:hAnsi="Cambria"/>
                <w:sz w:val="20"/>
                <w:szCs w:val="20"/>
              </w:rPr>
              <w:t>Our Lady’s Hospital, Navan</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17,810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15,242</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2,568</w:t>
            </w:r>
          </w:p>
        </w:tc>
        <w:tc>
          <w:tcPr>
            <w:tcW w:w="1633" w:type="dxa"/>
            <w:tcBorders>
              <w:top w:val="single" w:sz="4" w:space="0" w:color="auto"/>
              <w:left w:val="single" w:sz="4" w:space="0" w:color="auto"/>
              <w:bottom w:val="single" w:sz="4" w:space="0" w:color="auto"/>
              <w:right w:val="single" w:sz="12"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16.8%</w:t>
            </w:r>
          </w:p>
        </w:tc>
      </w:tr>
      <w:tr w:rsidR="00FB529E" w:rsidTr="00461E68">
        <w:trPr>
          <w:trHeight w:val="548"/>
        </w:trPr>
        <w:tc>
          <w:tcPr>
            <w:tcW w:w="2977" w:type="dxa"/>
            <w:tcBorders>
              <w:top w:val="single" w:sz="4" w:space="0" w:color="auto"/>
              <w:left w:val="single" w:sz="4" w:space="0" w:color="auto"/>
              <w:bottom w:val="single" w:sz="4" w:space="0" w:color="auto"/>
              <w:right w:val="single" w:sz="18" w:space="0" w:color="auto"/>
            </w:tcBorders>
            <w:vAlign w:val="center"/>
          </w:tcPr>
          <w:p w:rsidR="00FB529E" w:rsidRDefault="00FB529E" w:rsidP="001A672F">
            <w:pPr>
              <w:tabs>
                <w:tab w:val="left" w:pos="960"/>
              </w:tabs>
              <w:rPr>
                <w:rFonts w:ascii="Cambria" w:hAnsi="Cambria"/>
                <w:sz w:val="20"/>
                <w:szCs w:val="20"/>
              </w:rPr>
            </w:pPr>
            <w:r>
              <w:rPr>
                <w:rFonts w:ascii="Cambria" w:hAnsi="Cambria"/>
                <w:sz w:val="20"/>
                <w:szCs w:val="20"/>
              </w:rPr>
              <w:lastRenderedPageBreak/>
              <w:t>St. John’s Hospital Limerick</w:t>
            </w:r>
          </w:p>
        </w:tc>
        <w:tc>
          <w:tcPr>
            <w:tcW w:w="1417" w:type="dxa"/>
            <w:tcBorders>
              <w:top w:val="single" w:sz="4" w:space="0" w:color="auto"/>
              <w:left w:val="single" w:sz="4" w:space="0" w:color="auto"/>
              <w:bottom w:val="single" w:sz="4" w:space="0" w:color="auto"/>
              <w:right w:val="single" w:sz="4" w:space="0" w:color="auto"/>
            </w:tcBorders>
            <w:vAlign w:val="center"/>
          </w:tcPr>
          <w:p w:rsidR="00FB529E" w:rsidRDefault="00FB529E" w:rsidP="00461E68">
            <w:pPr>
              <w:tabs>
                <w:tab w:val="left" w:pos="960"/>
              </w:tabs>
              <w:jc w:val="right"/>
              <w:rPr>
                <w:rFonts w:ascii="Cambria" w:hAnsi="Cambria"/>
                <w:sz w:val="20"/>
                <w:szCs w:val="20"/>
              </w:rPr>
            </w:pPr>
            <w:r>
              <w:rPr>
                <w:rFonts w:ascii="Cambria" w:hAnsi="Cambria"/>
                <w:sz w:val="20"/>
                <w:szCs w:val="20"/>
              </w:rPr>
              <w:t>8,043</w:t>
            </w:r>
          </w:p>
        </w:tc>
        <w:tc>
          <w:tcPr>
            <w:tcW w:w="1418" w:type="dxa"/>
            <w:tcBorders>
              <w:top w:val="single" w:sz="4" w:space="0" w:color="auto"/>
              <w:left w:val="single" w:sz="4" w:space="0" w:color="auto"/>
              <w:bottom w:val="single" w:sz="4" w:space="0" w:color="auto"/>
              <w:right w:val="single" w:sz="4" w:space="0" w:color="auto"/>
            </w:tcBorders>
            <w:vAlign w:val="center"/>
          </w:tcPr>
          <w:p w:rsidR="00FB529E" w:rsidRDefault="00FB529E" w:rsidP="00461E68">
            <w:pPr>
              <w:tabs>
                <w:tab w:val="left" w:pos="960"/>
              </w:tabs>
              <w:jc w:val="right"/>
              <w:rPr>
                <w:rFonts w:ascii="Cambria" w:hAnsi="Cambria"/>
                <w:sz w:val="20"/>
                <w:szCs w:val="20"/>
              </w:rPr>
            </w:pPr>
            <w:r>
              <w:rPr>
                <w:rFonts w:ascii="Cambria" w:hAnsi="Cambria"/>
                <w:sz w:val="20"/>
                <w:szCs w:val="20"/>
              </w:rPr>
              <w:t>6,998</w:t>
            </w:r>
          </w:p>
        </w:tc>
        <w:tc>
          <w:tcPr>
            <w:tcW w:w="1417" w:type="dxa"/>
            <w:tcBorders>
              <w:top w:val="single" w:sz="4" w:space="0" w:color="auto"/>
              <w:left w:val="single" w:sz="4" w:space="0" w:color="auto"/>
              <w:bottom w:val="single" w:sz="4" w:space="0" w:color="auto"/>
              <w:right w:val="single" w:sz="4" w:space="0" w:color="auto"/>
            </w:tcBorders>
            <w:vAlign w:val="center"/>
          </w:tcPr>
          <w:p w:rsidR="00FB529E" w:rsidRDefault="00FB529E" w:rsidP="00461E68">
            <w:pPr>
              <w:tabs>
                <w:tab w:val="left" w:pos="960"/>
              </w:tabs>
              <w:jc w:val="right"/>
              <w:rPr>
                <w:rFonts w:ascii="Cambria" w:hAnsi="Cambria"/>
                <w:sz w:val="20"/>
                <w:szCs w:val="20"/>
              </w:rPr>
            </w:pPr>
            <w:r>
              <w:rPr>
                <w:rFonts w:ascii="Cambria" w:hAnsi="Cambria"/>
                <w:sz w:val="20"/>
                <w:szCs w:val="20"/>
              </w:rPr>
              <w:t>1,045</w:t>
            </w:r>
          </w:p>
        </w:tc>
        <w:tc>
          <w:tcPr>
            <w:tcW w:w="1633" w:type="dxa"/>
            <w:tcBorders>
              <w:top w:val="single" w:sz="4" w:space="0" w:color="auto"/>
              <w:left w:val="single" w:sz="4" w:space="0" w:color="auto"/>
              <w:bottom w:val="single" w:sz="4" w:space="0" w:color="auto"/>
              <w:right w:val="single" w:sz="12" w:space="0" w:color="auto"/>
            </w:tcBorders>
            <w:vAlign w:val="center"/>
          </w:tcPr>
          <w:p w:rsidR="00FB529E" w:rsidRDefault="00FB529E" w:rsidP="00461E68">
            <w:pPr>
              <w:tabs>
                <w:tab w:val="left" w:pos="960"/>
              </w:tabs>
              <w:jc w:val="right"/>
              <w:rPr>
                <w:rFonts w:ascii="Cambria" w:hAnsi="Cambria"/>
                <w:sz w:val="20"/>
                <w:szCs w:val="20"/>
              </w:rPr>
            </w:pPr>
            <w:r>
              <w:rPr>
                <w:rFonts w:ascii="Cambria" w:hAnsi="Cambria"/>
                <w:sz w:val="20"/>
                <w:szCs w:val="20"/>
              </w:rPr>
              <w:t>14.9%</w:t>
            </w:r>
          </w:p>
        </w:tc>
      </w:tr>
      <w:tr w:rsidR="00FB529E" w:rsidRPr="00264FA2" w:rsidTr="00C83392">
        <w:trPr>
          <w:trHeight w:val="594"/>
        </w:trPr>
        <w:tc>
          <w:tcPr>
            <w:tcW w:w="2977" w:type="dxa"/>
            <w:tcBorders>
              <w:top w:val="single" w:sz="4" w:space="0" w:color="auto"/>
              <w:left w:val="single" w:sz="4" w:space="0" w:color="auto"/>
              <w:bottom w:val="single" w:sz="2" w:space="0" w:color="auto"/>
              <w:right w:val="single" w:sz="18" w:space="0" w:color="auto"/>
            </w:tcBorders>
            <w:vAlign w:val="center"/>
            <w:hideMark/>
          </w:tcPr>
          <w:p w:rsidR="00FB529E" w:rsidRPr="00264FA2" w:rsidRDefault="00FB529E" w:rsidP="001A672F">
            <w:pPr>
              <w:tabs>
                <w:tab w:val="left" w:pos="960"/>
              </w:tabs>
              <w:rPr>
                <w:rFonts w:ascii="Cambria" w:hAnsi="Cambria"/>
                <w:sz w:val="20"/>
                <w:szCs w:val="20"/>
              </w:rPr>
            </w:pPr>
            <w:r w:rsidRPr="00264FA2">
              <w:rPr>
                <w:rFonts w:ascii="Cambria" w:hAnsi="Cambria"/>
                <w:sz w:val="20"/>
                <w:szCs w:val="20"/>
              </w:rPr>
              <w:t>Royal Victoria Eye &amp; Ear Hospital</w:t>
            </w:r>
          </w:p>
        </w:tc>
        <w:tc>
          <w:tcPr>
            <w:tcW w:w="1417" w:type="dxa"/>
            <w:tcBorders>
              <w:top w:val="single" w:sz="4" w:space="0" w:color="auto"/>
              <w:left w:val="single" w:sz="4" w:space="0" w:color="auto"/>
              <w:bottom w:val="single" w:sz="2" w:space="0" w:color="auto"/>
              <w:right w:val="single" w:sz="4" w:space="0" w:color="auto"/>
            </w:tcBorders>
            <w:vAlign w:val="center"/>
            <w:hideMark/>
          </w:tcPr>
          <w:p w:rsidR="00FB529E" w:rsidRPr="00264FA2" w:rsidRDefault="00FB529E" w:rsidP="00461E68">
            <w:pPr>
              <w:tabs>
                <w:tab w:val="left" w:pos="960"/>
              </w:tabs>
              <w:jc w:val="right"/>
              <w:rPr>
                <w:rFonts w:ascii="Cambria" w:hAnsi="Cambria"/>
                <w:sz w:val="20"/>
                <w:szCs w:val="20"/>
              </w:rPr>
            </w:pPr>
            <w:r w:rsidRPr="00264FA2">
              <w:rPr>
                <w:rFonts w:ascii="Cambria" w:hAnsi="Cambria"/>
                <w:sz w:val="20"/>
                <w:szCs w:val="20"/>
              </w:rPr>
              <w:t xml:space="preserve"> 9,779</w:t>
            </w:r>
          </w:p>
        </w:tc>
        <w:tc>
          <w:tcPr>
            <w:tcW w:w="1418" w:type="dxa"/>
            <w:tcBorders>
              <w:top w:val="single" w:sz="4" w:space="0" w:color="auto"/>
              <w:left w:val="single" w:sz="4" w:space="0" w:color="auto"/>
              <w:bottom w:val="single" w:sz="2" w:space="0" w:color="auto"/>
              <w:right w:val="single" w:sz="4" w:space="0" w:color="auto"/>
            </w:tcBorders>
            <w:vAlign w:val="center"/>
            <w:hideMark/>
          </w:tcPr>
          <w:p w:rsidR="00FB529E" w:rsidRPr="00264FA2" w:rsidRDefault="00FB529E" w:rsidP="00461E68">
            <w:pPr>
              <w:tabs>
                <w:tab w:val="left" w:pos="960"/>
              </w:tabs>
              <w:jc w:val="right"/>
              <w:rPr>
                <w:rFonts w:ascii="Cambria" w:hAnsi="Cambria"/>
                <w:sz w:val="20"/>
                <w:szCs w:val="20"/>
              </w:rPr>
            </w:pPr>
            <w:r w:rsidRPr="00264FA2">
              <w:rPr>
                <w:rFonts w:ascii="Cambria" w:hAnsi="Cambria"/>
                <w:sz w:val="20"/>
                <w:szCs w:val="20"/>
              </w:rPr>
              <w:t>8,613</w:t>
            </w:r>
          </w:p>
        </w:tc>
        <w:tc>
          <w:tcPr>
            <w:tcW w:w="1417" w:type="dxa"/>
            <w:tcBorders>
              <w:top w:val="single" w:sz="4" w:space="0" w:color="auto"/>
              <w:left w:val="single" w:sz="4" w:space="0" w:color="auto"/>
              <w:bottom w:val="single" w:sz="2" w:space="0" w:color="auto"/>
              <w:right w:val="single" w:sz="4" w:space="0" w:color="auto"/>
            </w:tcBorders>
            <w:vAlign w:val="center"/>
            <w:hideMark/>
          </w:tcPr>
          <w:p w:rsidR="00FB529E" w:rsidRPr="00264FA2" w:rsidRDefault="00FB529E" w:rsidP="00461E68">
            <w:pPr>
              <w:tabs>
                <w:tab w:val="left" w:pos="960"/>
              </w:tabs>
              <w:jc w:val="right"/>
              <w:rPr>
                <w:rFonts w:ascii="Cambria" w:hAnsi="Cambria"/>
                <w:sz w:val="20"/>
                <w:szCs w:val="20"/>
              </w:rPr>
            </w:pPr>
            <w:r w:rsidRPr="00264FA2">
              <w:rPr>
                <w:rFonts w:ascii="Cambria" w:hAnsi="Cambria"/>
                <w:sz w:val="20"/>
                <w:szCs w:val="20"/>
              </w:rPr>
              <w:t>1,167</w:t>
            </w:r>
          </w:p>
        </w:tc>
        <w:tc>
          <w:tcPr>
            <w:tcW w:w="1633" w:type="dxa"/>
            <w:tcBorders>
              <w:top w:val="single" w:sz="4" w:space="0" w:color="auto"/>
              <w:left w:val="single" w:sz="4" w:space="0" w:color="auto"/>
              <w:bottom w:val="single" w:sz="2" w:space="0" w:color="auto"/>
              <w:right w:val="single" w:sz="12" w:space="0" w:color="auto"/>
            </w:tcBorders>
            <w:vAlign w:val="center"/>
            <w:hideMark/>
          </w:tcPr>
          <w:p w:rsidR="00FB529E" w:rsidRPr="00264FA2" w:rsidRDefault="00FB529E" w:rsidP="00461E68">
            <w:pPr>
              <w:tabs>
                <w:tab w:val="left" w:pos="960"/>
              </w:tabs>
              <w:jc w:val="right"/>
              <w:rPr>
                <w:rFonts w:ascii="Cambria" w:hAnsi="Cambria"/>
                <w:sz w:val="20"/>
                <w:szCs w:val="20"/>
              </w:rPr>
            </w:pPr>
            <w:r w:rsidRPr="00264FA2">
              <w:rPr>
                <w:rFonts w:ascii="Cambria" w:hAnsi="Cambria"/>
                <w:sz w:val="20"/>
                <w:szCs w:val="20"/>
              </w:rPr>
              <w:t>13.5%</w:t>
            </w:r>
          </w:p>
        </w:tc>
      </w:tr>
      <w:tr w:rsidR="00FB529E" w:rsidRPr="009D508A" w:rsidTr="00461E68">
        <w:trPr>
          <w:trHeight w:val="606"/>
        </w:trPr>
        <w:tc>
          <w:tcPr>
            <w:tcW w:w="2977" w:type="dxa"/>
            <w:tcBorders>
              <w:top w:val="single" w:sz="2" w:space="0" w:color="auto"/>
              <w:left w:val="single" w:sz="4" w:space="0" w:color="auto"/>
              <w:bottom w:val="single" w:sz="4" w:space="0" w:color="auto"/>
              <w:right w:val="single" w:sz="18" w:space="0" w:color="auto"/>
            </w:tcBorders>
            <w:vAlign w:val="center"/>
            <w:hideMark/>
          </w:tcPr>
          <w:p w:rsidR="00FB529E" w:rsidRDefault="00FB529E" w:rsidP="001A672F">
            <w:pPr>
              <w:tabs>
                <w:tab w:val="left" w:pos="960"/>
              </w:tabs>
              <w:rPr>
                <w:rFonts w:ascii="Cambria" w:hAnsi="Cambria"/>
                <w:sz w:val="20"/>
                <w:szCs w:val="20"/>
              </w:rPr>
            </w:pPr>
            <w:r>
              <w:rPr>
                <w:rFonts w:ascii="Cambria" w:hAnsi="Cambria"/>
                <w:sz w:val="20"/>
                <w:szCs w:val="20"/>
              </w:rPr>
              <w:t>Midland Regional Hospital, Portlaoise</w:t>
            </w:r>
          </w:p>
        </w:tc>
        <w:tc>
          <w:tcPr>
            <w:tcW w:w="1417" w:type="dxa"/>
            <w:tcBorders>
              <w:top w:val="single" w:sz="2"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 xml:space="preserve"> 21,052</w:t>
            </w:r>
          </w:p>
        </w:tc>
        <w:tc>
          <w:tcPr>
            <w:tcW w:w="1418" w:type="dxa"/>
            <w:tcBorders>
              <w:top w:val="single" w:sz="2"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18,644</w:t>
            </w:r>
          </w:p>
        </w:tc>
        <w:tc>
          <w:tcPr>
            <w:tcW w:w="1417" w:type="dxa"/>
            <w:tcBorders>
              <w:top w:val="single" w:sz="2"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2,408</w:t>
            </w:r>
          </w:p>
        </w:tc>
        <w:tc>
          <w:tcPr>
            <w:tcW w:w="1633" w:type="dxa"/>
            <w:tcBorders>
              <w:top w:val="single" w:sz="2" w:space="0" w:color="auto"/>
              <w:left w:val="single" w:sz="4" w:space="0" w:color="auto"/>
              <w:bottom w:val="single" w:sz="4" w:space="0" w:color="auto"/>
              <w:right w:val="single" w:sz="12" w:space="0" w:color="auto"/>
            </w:tcBorders>
            <w:vAlign w:val="center"/>
            <w:hideMark/>
          </w:tcPr>
          <w:p w:rsidR="00FB529E" w:rsidRPr="009D508A" w:rsidRDefault="00FB529E" w:rsidP="00461E68">
            <w:pPr>
              <w:tabs>
                <w:tab w:val="left" w:pos="960"/>
              </w:tabs>
              <w:jc w:val="right"/>
              <w:rPr>
                <w:rFonts w:ascii="Cambria" w:hAnsi="Cambria"/>
                <w:color w:val="FF0000"/>
                <w:sz w:val="20"/>
                <w:szCs w:val="20"/>
                <w:highlight w:val="yellow"/>
              </w:rPr>
            </w:pPr>
            <w:r w:rsidRPr="009D508A">
              <w:rPr>
                <w:rFonts w:ascii="Cambria" w:hAnsi="Cambria"/>
                <w:sz w:val="20"/>
                <w:szCs w:val="20"/>
              </w:rPr>
              <w:t>12.9%</w:t>
            </w:r>
          </w:p>
        </w:tc>
      </w:tr>
      <w:tr w:rsidR="00FB529E" w:rsidTr="00461E68">
        <w:trPr>
          <w:trHeight w:val="572"/>
        </w:trPr>
        <w:tc>
          <w:tcPr>
            <w:tcW w:w="2977" w:type="dxa"/>
            <w:tcBorders>
              <w:top w:val="single" w:sz="4" w:space="0" w:color="auto"/>
              <w:left w:val="single" w:sz="4" w:space="0" w:color="auto"/>
              <w:bottom w:val="single" w:sz="4" w:space="0" w:color="auto"/>
              <w:right w:val="single" w:sz="18" w:space="0" w:color="auto"/>
            </w:tcBorders>
            <w:vAlign w:val="center"/>
            <w:hideMark/>
          </w:tcPr>
          <w:p w:rsidR="00FB529E" w:rsidRDefault="00FB529E" w:rsidP="001A672F">
            <w:pPr>
              <w:tabs>
                <w:tab w:val="left" w:pos="960"/>
              </w:tabs>
              <w:rPr>
                <w:rFonts w:ascii="Cambria" w:hAnsi="Cambria"/>
                <w:sz w:val="20"/>
                <w:szCs w:val="20"/>
              </w:rPr>
            </w:pPr>
            <w:r>
              <w:rPr>
                <w:rFonts w:ascii="Cambria" w:hAnsi="Cambria"/>
                <w:sz w:val="20"/>
                <w:szCs w:val="20"/>
              </w:rPr>
              <w:t>Sligo General Hospital</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45,103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40,132</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4,971</w:t>
            </w:r>
          </w:p>
        </w:tc>
        <w:tc>
          <w:tcPr>
            <w:tcW w:w="1633" w:type="dxa"/>
            <w:tcBorders>
              <w:top w:val="single" w:sz="4" w:space="0" w:color="auto"/>
              <w:left w:val="single" w:sz="4" w:space="0" w:color="auto"/>
              <w:bottom w:val="single" w:sz="4" w:space="0" w:color="auto"/>
              <w:right w:val="single" w:sz="12"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12.4%</w:t>
            </w:r>
          </w:p>
        </w:tc>
      </w:tr>
      <w:tr w:rsidR="00FB529E" w:rsidTr="00461E68">
        <w:trPr>
          <w:trHeight w:val="406"/>
        </w:trPr>
        <w:tc>
          <w:tcPr>
            <w:tcW w:w="2977" w:type="dxa"/>
            <w:tcBorders>
              <w:top w:val="single" w:sz="4" w:space="0" w:color="auto"/>
              <w:left w:val="single" w:sz="4" w:space="0" w:color="auto"/>
              <w:bottom w:val="single" w:sz="4" w:space="0" w:color="auto"/>
              <w:right w:val="single" w:sz="18" w:space="0" w:color="auto"/>
            </w:tcBorders>
            <w:vAlign w:val="center"/>
            <w:hideMark/>
          </w:tcPr>
          <w:p w:rsidR="00FB529E" w:rsidRDefault="00FB529E" w:rsidP="001A672F">
            <w:pPr>
              <w:tabs>
                <w:tab w:val="left" w:pos="960"/>
              </w:tabs>
              <w:rPr>
                <w:rFonts w:ascii="Cambria" w:hAnsi="Cambria"/>
                <w:sz w:val="20"/>
                <w:szCs w:val="20"/>
              </w:rPr>
            </w:pPr>
            <w:r>
              <w:rPr>
                <w:rFonts w:ascii="Cambria" w:hAnsi="Cambria"/>
                <w:sz w:val="20"/>
                <w:szCs w:val="20"/>
              </w:rPr>
              <w:t>Waterford Regional Hospital</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61,268</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54,866</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6,402</w:t>
            </w:r>
          </w:p>
        </w:tc>
        <w:tc>
          <w:tcPr>
            <w:tcW w:w="1633" w:type="dxa"/>
            <w:tcBorders>
              <w:top w:val="single" w:sz="4" w:space="0" w:color="auto"/>
              <w:left w:val="single" w:sz="4" w:space="0" w:color="auto"/>
              <w:bottom w:val="single" w:sz="4" w:space="0" w:color="auto"/>
              <w:right w:val="single" w:sz="12"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11.7%</w:t>
            </w:r>
          </w:p>
        </w:tc>
      </w:tr>
      <w:tr w:rsidR="00FB529E" w:rsidTr="00C83392">
        <w:trPr>
          <w:trHeight w:val="512"/>
        </w:trPr>
        <w:tc>
          <w:tcPr>
            <w:tcW w:w="2977" w:type="dxa"/>
            <w:tcBorders>
              <w:top w:val="single" w:sz="4" w:space="0" w:color="auto"/>
              <w:left w:val="single" w:sz="4" w:space="0" w:color="auto"/>
              <w:bottom w:val="single" w:sz="4" w:space="0" w:color="auto"/>
              <w:right w:val="single" w:sz="18" w:space="0" w:color="auto"/>
            </w:tcBorders>
            <w:vAlign w:val="center"/>
          </w:tcPr>
          <w:p w:rsidR="00FB529E" w:rsidRDefault="00FB529E" w:rsidP="001A672F">
            <w:pPr>
              <w:tabs>
                <w:tab w:val="left" w:pos="960"/>
              </w:tabs>
              <w:rPr>
                <w:rFonts w:ascii="Cambria" w:hAnsi="Cambria"/>
                <w:sz w:val="20"/>
                <w:szCs w:val="20"/>
              </w:rPr>
            </w:pPr>
            <w:r>
              <w:rPr>
                <w:rFonts w:ascii="Cambria" w:hAnsi="Cambria"/>
                <w:sz w:val="20"/>
                <w:szCs w:val="20"/>
              </w:rPr>
              <w:t>Letterkenny General Hospital</w:t>
            </w:r>
          </w:p>
        </w:tc>
        <w:tc>
          <w:tcPr>
            <w:tcW w:w="1417" w:type="dxa"/>
            <w:tcBorders>
              <w:top w:val="single" w:sz="4" w:space="0" w:color="auto"/>
              <w:left w:val="single" w:sz="4" w:space="0" w:color="auto"/>
              <w:bottom w:val="single" w:sz="4" w:space="0" w:color="auto"/>
              <w:right w:val="single" w:sz="4" w:space="0" w:color="auto"/>
            </w:tcBorders>
            <w:vAlign w:val="center"/>
          </w:tcPr>
          <w:p w:rsidR="00FB529E" w:rsidRDefault="00FB529E" w:rsidP="00461E68">
            <w:pPr>
              <w:tabs>
                <w:tab w:val="left" w:pos="960"/>
              </w:tabs>
              <w:jc w:val="right"/>
              <w:rPr>
                <w:rFonts w:ascii="Cambria" w:hAnsi="Cambria"/>
                <w:sz w:val="20"/>
                <w:szCs w:val="20"/>
              </w:rPr>
            </w:pPr>
            <w:r>
              <w:rPr>
                <w:rFonts w:ascii="Cambria" w:hAnsi="Cambria"/>
                <w:sz w:val="20"/>
                <w:szCs w:val="20"/>
              </w:rPr>
              <w:t>44,883</w:t>
            </w:r>
          </w:p>
        </w:tc>
        <w:tc>
          <w:tcPr>
            <w:tcW w:w="1418" w:type="dxa"/>
            <w:tcBorders>
              <w:top w:val="single" w:sz="4" w:space="0" w:color="auto"/>
              <w:left w:val="single" w:sz="4" w:space="0" w:color="auto"/>
              <w:bottom w:val="single" w:sz="4" w:space="0" w:color="auto"/>
              <w:right w:val="single" w:sz="4" w:space="0" w:color="auto"/>
            </w:tcBorders>
            <w:vAlign w:val="center"/>
          </w:tcPr>
          <w:p w:rsidR="00FB529E" w:rsidRDefault="00FB529E" w:rsidP="00461E68">
            <w:pPr>
              <w:tabs>
                <w:tab w:val="left" w:pos="960"/>
              </w:tabs>
              <w:jc w:val="right"/>
              <w:rPr>
                <w:rFonts w:ascii="Cambria" w:hAnsi="Cambria"/>
                <w:sz w:val="20"/>
                <w:szCs w:val="20"/>
              </w:rPr>
            </w:pPr>
            <w:r>
              <w:rPr>
                <w:rFonts w:ascii="Cambria" w:hAnsi="Cambria"/>
                <w:sz w:val="20"/>
                <w:szCs w:val="20"/>
              </w:rPr>
              <w:t>40,457</w:t>
            </w:r>
          </w:p>
        </w:tc>
        <w:tc>
          <w:tcPr>
            <w:tcW w:w="1417" w:type="dxa"/>
            <w:tcBorders>
              <w:top w:val="single" w:sz="4" w:space="0" w:color="auto"/>
              <w:left w:val="single" w:sz="4" w:space="0" w:color="auto"/>
              <w:bottom w:val="single" w:sz="4" w:space="0" w:color="auto"/>
              <w:right w:val="single" w:sz="4" w:space="0" w:color="auto"/>
            </w:tcBorders>
            <w:vAlign w:val="center"/>
          </w:tcPr>
          <w:p w:rsidR="00FB529E" w:rsidRDefault="00FB529E" w:rsidP="00461E68">
            <w:pPr>
              <w:tabs>
                <w:tab w:val="left" w:pos="960"/>
              </w:tabs>
              <w:jc w:val="right"/>
              <w:rPr>
                <w:rFonts w:ascii="Cambria" w:hAnsi="Cambria"/>
                <w:sz w:val="20"/>
                <w:szCs w:val="20"/>
              </w:rPr>
            </w:pPr>
            <w:r>
              <w:rPr>
                <w:rFonts w:ascii="Cambria" w:hAnsi="Cambria"/>
                <w:sz w:val="20"/>
                <w:szCs w:val="20"/>
              </w:rPr>
              <w:t>4,426</w:t>
            </w:r>
          </w:p>
        </w:tc>
        <w:tc>
          <w:tcPr>
            <w:tcW w:w="1633" w:type="dxa"/>
            <w:tcBorders>
              <w:top w:val="single" w:sz="4" w:space="0" w:color="auto"/>
              <w:left w:val="single" w:sz="4" w:space="0" w:color="auto"/>
              <w:bottom w:val="single" w:sz="4" w:space="0" w:color="auto"/>
              <w:right w:val="single" w:sz="12" w:space="0" w:color="auto"/>
            </w:tcBorders>
            <w:vAlign w:val="center"/>
          </w:tcPr>
          <w:p w:rsidR="00FB529E" w:rsidRDefault="00FB529E" w:rsidP="00461E68">
            <w:pPr>
              <w:tabs>
                <w:tab w:val="left" w:pos="960"/>
              </w:tabs>
              <w:jc w:val="right"/>
              <w:rPr>
                <w:rFonts w:ascii="Cambria" w:hAnsi="Cambria"/>
                <w:sz w:val="20"/>
                <w:szCs w:val="20"/>
              </w:rPr>
            </w:pPr>
            <w:r>
              <w:rPr>
                <w:rFonts w:ascii="Cambria" w:hAnsi="Cambria"/>
                <w:sz w:val="20"/>
                <w:szCs w:val="20"/>
              </w:rPr>
              <w:t>10.9%</w:t>
            </w:r>
          </w:p>
        </w:tc>
      </w:tr>
      <w:tr w:rsidR="00FB529E" w:rsidTr="00461E68">
        <w:trPr>
          <w:trHeight w:val="551"/>
        </w:trPr>
        <w:tc>
          <w:tcPr>
            <w:tcW w:w="2977" w:type="dxa"/>
            <w:tcBorders>
              <w:top w:val="single" w:sz="4" w:space="0" w:color="auto"/>
              <w:left w:val="single" w:sz="4" w:space="0" w:color="auto"/>
              <w:bottom w:val="single" w:sz="4" w:space="0" w:color="auto"/>
              <w:right w:val="single" w:sz="18" w:space="0" w:color="auto"/>
            </w:tcBorders>
            <w:vAlign w:val="center"/>
            <w:hideMark/>
          </w:tcPr>
          <w:p w:rsidR="00FB529E" w:rsidRDefault="00FB529E" w:rsidP="001A672F">
            <w:pPr>
              <w:tabs>
                <w:tab w:val="left" w:pos="960"/>
              </w:tabs>
              <w:rPr>
                <w:rFonts w:ascii="Cambria" w:hAnsi="Cambria"/>
                <w:sz w:val="20"/>
                <w:szCs w:val="20"/>
              </w:rPr>
            </w:pPr>
            <w:r>
              <w:rPr>
                <w:rFonts w:ascii="Cambria" w:hAnsi="Cambria"/>
                <w:sz w:val="20"/>
                <w:szCs w:val="20"/>
              </w:rPr>
              <w:t>Louth County Hospital</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8,017</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7,237</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780</w:t>
            </w:r>
          </w:p>
        </w:tc>
        <w:tc>
          <w:tcPr>
            <w:tcW w:w="1633" w:type="dxa"/>
            <w:tcBorders>
              <w:top w:val="single" w:sz="4" w:space="0" w:color="auto"/>
              <w:left w:val="single" w:sz="4" w:space="0" w:color="auto"/>
              <w:bottom w:val="single" w:sz="4" w:space="0" w:color="auto"/>
              <w:right w:val="single" w:sz="12"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10.8%</w:t>
            </w:r>
          </w:p>
        </w:tc>
      </w:tr>
      <w:tr w:rsidR="00FB529E" w:rsidTr="00461E68">
        <w:trPr>
          <w:trHeight w:val="580"/>
        </w:trPr>
        <w:tc>
          <w:tcPr>
            <w:tcW w:w="2977" w:type="dxa"/>
            <w:tcBorders>
              <w:top w:val="single" w:sz="4" w:space="0" w:color="auto"/>
              <w:left w:val="single" w:sz="4" w:space="0" w:color="auto"/>
              <w:bottom w:val="single" w:sz="4" w:space="0" w:color="auto"/>
              <w:right w:val="single" w:sz="18" w:space="0" w:color="auto"/>
            </w:tcBorders>
            <w:vAlign w:val="center"/>
            <w:hideMark/>
          </w:tcPr>
          <w:p w:rsidR="00FB529E" w:rsidRDefault="00FB529E" w:rsidP="001A672F">
            <w:pPr>
              <w:tabs>
                <w:tab w:val="left" w:pos="960"/>
              </w:tabs>
              <w:rPr>
                <w:rFonts w:ascii="Cambria" w:hAnsi="Cambria"/>
                <w:sz w:val="20"/>
                <w:szCs w:val="20"/>
              </w:rPr>
            </w:pPr>
            <w:r>
              <w:rPr>
                <w:rFonts w:ascii="Cambria" w:hAnsi="Cambria"/>
                <w:sz w:val="20"/>
                <w:szCs w:val="20"/>
              </w:rPr>
              <w:t>Temple Street Children’s University Hospital</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35,580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32,478</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3,371</w:t>
            </w:r>
          </w:p>
        </w:tc>
        <w:tc>
          <w:tcPr>
            <w:tcW w:w="1633" w:type="dxa"/>
            <w:tcBorders>
              <w:top w:val="single" w:sz="4" w:space="0" w:color="auto"/>
              <w:left w:val="single" w:sz="4" w:space="0" w:color="auto"/>
              <w:bottom w:val="single" w:sz="4" w:space="0" w:color="auto"/>
              <w:right w:val="single" w:sz="12"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 xml:space="preserve">10.4% </w:t>
            </w:r>
          </w:p>
        </w:tc>
      </w:tr>
      <w:tr w:rsidR="00FB529E" w:rsidTr="00461E68">
        <w:trPr>
          <w:trHeight w:val="570"/>
        </w:trPr>
        <w:tc>
          <w:tcPr>
            <w:tcW w:w="2977" w:type="dxa"/>
            <w:tcBorders>
              <w:top w:val="single" w:sz="4" w:space="0" w:color="auto"/>
              <w:left w:val="single" w:sz="4" w:space="0" w:color="auto"/>
              <w:bottom w:val="single" w:sz="4" w:space="0" w:color="auto"/>
              <w:right w:val="single" w:sz="18" w:space="0" w:color="auto"/>
            </w:tcBorders>
            <w:vAlign w:val="center"/>
          </w:tcPr>
          <w:p w:rsidR="00FB529E" w:rsidRDefault="00FB529E" w:rsidP="001A672F">
            <w:pPr>
              <w:tabs>
                <w:tab w:val="left" w:pos="960"/>
              </w:tabs>
              <w:rPr>
                <w:rFonts w:ascii="Cambria" w:hAnsi="Cambria"/>
                <w:sz w:val="20"/>
                <w:szCs w:val="20"/>
              </w:rPr>
            </w:pPr>
            <w:r>
              <w:rPr>
                <w:rFonts w:ascii="Cambria" w:hAnsi="Cambria"/>
                <w:sz w:val="20"/>
                <w:szCs w:val="20"/>
              </w:rPr>
              <w:t>Mayo General Hospital</w:t>
            </w:r>
          </w:p>
        </w:tc>
        <w:tc>
          <w:tcPr>
            <w:tcW w:w="1417" w:type="dxa"/>
            <w:tcBorders>
              <w:top w:val="single" w:sz="4" w:space="0" w:color="auto"/>
              <w:left w:val="single" w:sz="4" w:space="0" w:color="auto"/>
              <w:bottom w:val="single" w:sz="4" w:space="0" w:color="auto"/>
              <w:right w:val="single" w:sz="4" w:space="0" w:color="auto"/>
            </w:tcBorders>
            <w:vAlign w:val="center"/>
          </w:tcPr>
          <w:p w:rsidR="00FB529E" w:rsidRDefault="00FB529E" w:rsidP="00461E68">
            <w:pPr>
              <w:tabs>
                <w:tab w:val="left" w:pos="960"/>
              </w:tabs>
              <w:jc w:val="right"/>
              <w:rPr>
                <w:rFonts w:ascii="Cambria" w:hAnsi="Cambria"/>
                <w:sz w:val="20"/>
                <w:szCs w:val="20"/>
              </w:rPr>
            </w:pPr>
            <w:r>
              <w:rPr>
                <w:rFonts w:ascii="Cambria" w:hAnsi="Cambria"/>
                <w:sz w:val="20"/>
                <w:szCs w:val="20"/>
              </w:rPr>
              <w:t>34,895</w:t>
            </w:r>
          </w:p>
        </w:tc>
        <w:tc>
          <w:tcPr>
            <w:tcW w:w="1418" w:type="dxa"/>
            <w:tcBorders>
              <w:top w:val="single" w:sz="4" w:space="0" w:color="auto"/>
              <w:left w:val="single" w:sz="4" w:space="0" w:color="auto"/>
              <w:bottom w:val="single" w:sz="4" w:space="0" w:color="auto"/>
              <w:right w:val="single" w:sz="4" w:space="0" w:color="auto"/>
            </w:tcBorders>
            <w:vAlign w:val="center"/>
          </w:tcPr>
          <w:p w:rsidR="00FB529E" w:rsidRDefault="00FB529E" w:rsidP="00461E68">
            <w:pPr>
              <w:tabs>
                <w:tab w:val="left" w:pos="960"/>
              </w:tabs>
              <w:jc w:val="right"/>
              <w:rPr>
                <w:rFonts w:ascii="Cambria" w:hAnsi="Cambria"/>
                <w:sz w:val="20"/>
                <w:szCs w:val="20"/>
              </w:rPr>
            </w:pPr>
            <w:r>
              <w:rPr>
                <w:rFonts w:ascii="Cambria" w:hAnsi="Cambria"/>
                <w:sz w:val="20"/>
                <w:szCs w:val="20"/>
              </w:rPr>
              <w:t>31,786</w:t>
            </w:r>
          </w:p>
        </w:tc>
        <w:tc>
          <w:tcPr>
            <w:tcW w:w="1417" w:type="dxa"/>
            <w:tcBorders>
              <w:top w:val="single" w:sz="4" w:space="0" w:color="auto"/>
              <w:left w:val="single" w:sz="4" w:space="0" w:color="auto"/>
              <w:bottom w:val="single" w:sz="4" w:space="0" w:color="auto"/>
              <w:right w:val="single" w:sz="4" w:space="0" w:color="auto"/>
            </w:tcBorders>
            <w:vAlign w:val="center"/>
          </w:tcPr>
          <w:p w:rsidR="00FB529E" w:rsidRDefault="00FB529E" w:rsidP="00461E68">
            <w:pPr>
              <w:tabs>
                <w:tab w:val="left" w:pos="960"/>
              </w:tabs>
              <w:jc w:val="right"/>
              <w:rPr>
                <w:rFonts w:ascii="Cambria" w:hAnsi="Cambria"/>
                <w:sz w:val="20"/>
                <w:szCs w:val="20"/>
              </w:rPr>
            </w:pPr>
            <w:r>
              <w:rPr>
                <w:rFonts w:ascii="Cambria" w:hAnsi="Cambria"/>
                <w:sz w:val="20"/>
                <w:szCs w:val="20"/>
              </w:rPr>
              <w:t>3,109</w:t>
            </w:r>
          </w:p>
        </w:tc>
        <w:tc>
          <w:tcPr>
            <w:tcW w:w="1633" w:type="dxa"/>
            <w:tcBorders>
              <w:top w:val="single" w:sz="4" w:space="0" w:color="auto"/>
              <w:left w:val="single" w:sz="4" w:space="0" w:color="auto"/>
              <w:bottom w:val="single" w:sz="4" w:space="0" w:color="auto"/>
              <w:right w:val="single" w:sz="12" w:space="0" w:color="auto"/>
            </w:tcBorders>
            <w:vAlign w:val="center"/>
          </w:tcPr>
          <w:p w:rsidR="00FB529E" w:rsidRDefault="00FB529E" w:rsidP="00461E68">
            <w:pPr>
              <w:tabs>
                <w:tab w:val="left" w:pos="960"/>
              </w:tabs>
              <w:jc w:val="right"/>
              <w:rPr>
                <w:rFonts w:ascii="Cambria" w:hAnsi="Cambria"/>
                <w:sz w:val="20"/>
                <w:szCs w:val="20"/>
              </w:rPr>
            </w:pPr>
            <w:r>
              <w:rPr>
                <w:rFonts w:ascii="Cambria" w:hAnsi="Cambria"/>
                <w:sz w:val="20"/>
                <w:szCs w:val="20"/>
              </w:rPr>
              <w:t>9.8%</w:t>
            </w:r>
          </w:p>
        </w:tc>
      </w:tr>
      <w:tr w:rsidR="00FB529E" w:rsidTr="00C83392">
        <w:trPr>
          <w:trHeight w:val="531"/>
        </w:trPr>
        <w:tc>
          <w:tcPr>
            <w:tcW w:w="2977" w:type="dxa"/>
            <w:tcBorders>
              <w:top w:val="single" w:sz="4" w:space="0" w:color="auto"/>
              <w:left w:val="single" w:sz="4" w:space="0" w:color="auto"/>
              <w:bottom w:val="single" w:sz="4" w:space="0" w:color="auto"/>
              <w:right w:val="single" w:sz="18" w:space="0" w:color="auto"/>
            </w:tcBorders>
            <w:vAlign w:val="center"/>
            <w:hideMark/>
          </w:tcPr>
          <w:p w:rsidR="00FB529E" w:rsidRDefault="00FB529E" w:rsidP="001A672F">
            <w:pPr>
              <w:tabs>
                <w:tab w:val="left" w:pos="960"/>
              </w:tabs>
              <w:rPr>
                <w:rFonts w:ascii="Cambria" w:hAnsi="Cambria"/>
                <w:sz w:val="20"/>
                <w:szCs w:val="20"/>
              </w:rPr>
            </w:pPr>
            <w:r>
              <w:rPr>
                <w:rFonts w:ascii="Cambria" w:hAnsi="Cambria"/>
                <w:sz w:val="20"/>
                <w:szCs w:val="20"/>
              </w:rPr>
              <w:t>St. Vincent’s University Hospital</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86,430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80,158</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6,272</w:t>
            </w:r>
          </w:p>
        </w:tc>
        <w:tc>
          <w:tcPr>
            <w:tcW w:w="1633" w:type="dxa"/>
            <w:tcBorders>
              <w:top w:val="single" w:sz="4" w:space="0" w:color="auto"/>
              <w:left w:val="single" w:sz="4" w:space="0" w:color="auto"/>
              <w:bottom w:val="single" w:sz="4" w:space="0" w:color="auto"/>
              <w:right w:val="single" w:sz="12"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7.8%</w:t>
            </w:r>
          </w:p>
        </w:tc>
      </w:tr>
      <w:tr w:rsidR="00FB529E" w:rsidTr="00C83392">
        <w:trPr>
          <w:trHeight w:val="551"/>
        </w:trPr>
        <w:tc>
          <w:tcPr>
            <w:tcW w:w="2977" w:type="dxa"/>
            <w:tcBorders>
              <w:top w:val="single" w:sz="4" w:space="0" w:color="auto"/>
              <w:left w:val="single" w:sz="4" w:space="0" w:color="auto"/>
              <w:bottom w:val="single" w:sz="4" w:space="0" w:color="auto"/>
              <w:right w:val="single" w:sz="18" w:space="0" w:color="auto"/>
            </w:tcBorders>
            <w:vAlign w:val="center"/>
            <w:hideMark/>
          </w:tcPr>
          <w:p w:rsidR="00FB529E" w:rsidRDefault="00FB529E" w:rsidP="001A672F">
            <w:pPr>
              <w:tabs>
                <w:tab w:val="left" w:pos="960"/>
              </w:tabs>
              <w:rPr>
                <w:rFonts w:ascii="Cambria" w:hAnsi="Cambria"/>
                <w:sz w:val="20"/>
                <w:szCs w:val="20"/>
              </w:rPr>
            </w:pPr>
            <w:r>
              <w:rPr>
                <w:rFonts w:ascii="Cambria" w:hAnsi="Cambria"/>
                <w:sz w:val="20"/>
                <w:szCs w:val="20"/>
              </w:rPr>
              <w:t>Beaumont Hospital</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103,070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97,584</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5,486</w:t>
            </w:r>
          </w:p>
        </w:tc>
        <w:tc>
          <w:tcPr>
            <w:tcW w:w="1633" w:type="dxa"/>
            <w:tcBorders>
              <w:top w:val="single" w:sz="4" w:space="0" w:color="auto"/>
              <w:left w:val="single" w:sz="4" w:space="0" w:color="auto"/>
              <w:bottom w:val="single" w:sz="4" w:space="0" w:color="auto"/>
              <w:right w:val="single" w:sz="12"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 xml:space="preserve">5.6% </w:t>
            </w:r>
          </w:p>
        </w:tc>
      </w:tr>
      <w:tr w:rsidR="00FB529E" w:rsidTr="00461E68">
        <w:trPr>
          <w:trHeight w:val="570"/>
        </w:trPr>
        <w:tc>
          <w:tcPr>
            <w:tcW w:w="2977" w:type="dxa"/>
            <w:tcBorders>
              <w:top w:val="single" w:sz="4" w:space="0" w:color="auto"/>
              <w:left w:val="single" w:sz="4" w:space="0" w:color="auto"/>
              <w:bottom w:val="single" w:sz="4" w:space="0" w:color="auto"/>
              <w:right w:val="single" w:sz="18" w:space="0" w:color="auto"/>
            </w:tcBorders>
            <w:vAlign w:val="center"/>
          </w:tcPr>
          <w:p w:rsidR="00FB529E" w:rsidRDefault="00FB529E" w:rsidP="001A672F">
            <w:pPr>
              <w:tabs>
                <w:tab w:val="left" w:pos="960"/>
              </w:tabs>
              <w:rPr>
                <w:rFonts w:ascii="Cambria" w:hAnsi="Cambria"/>
                <w:sz w:val="20"/>
                <w:szCs w:val="20"/>
              </w:rPr>
            </w:pPr>
            <w:r>
              <w:rPr>
                <w:rFonts w:ascii="Cambria" w:hAnsi="Cambria"/>
                <w:sz w:val="20"/>
                <w:szCs w:val="20"/>
              </w:rPr>
              <w:t>Midland Regional Hospital Tullamore</w:t>
            </w:r>
          </w:p>
        </w:tc>
        <w:tc>
          <w:tcPr>
            <w:tcW w:w="1417" w:type="dxa"/>
            <w:tcBorders>
              <w:top w:val="single" w:sz="4" w:space="0" w:color="auto"/>
              <w:left w:val="single" w:sz="4" w:space="0" w:color="auto"/>
              <w:bottom w:val="single" w:sz="4" w:space="0" w:color="auto"/>
              <w:right w:val="single" w:sz="4" w:space="0" w:color="auto"/>
            </w:tcBorders>
            <w:vAlign w:val="center"/>
          </w:tcPr>
          <w:p w:rsidR="00FB529E" w:rsidRDefault="00FB529E" w:rsidP="00461E68">
            <w:pPr>
              <w:tabs>
                <w:tab w:val="left" w:pos="960"/>
              </w:tabs>
              <w:jc w:val="right"/>
              <w:rPr>
                <w:rFonts w:ascii="Cambria" w:hAnsi="Cambria"/>
                <w:sz w:val="20"/>
                <w:szCs w:val="20"/>
              </w:rPr>
            </w:pPr>
            <w:r>
              <w:rPr>
                <w:rFonts w:ascii="Cambria" w:hAnsi="Cambria"/>
                <w:sz w:val="20"/>
                <w:szCs w:val="20"/>
              </w:rPr>
              <w:t>35,321</w:t>
            </w:r>
          </w:p>
        </w:tc>
        <w:tc>
          <w:tcPr>
            <w:tcW w:w="1418" w:type="dxa"/>
            <w:tcBorders>
              <w:top w:val="single" w:sz="4" w:space="0" w:color="auto"/>
              <w:left w:val="single" w:sz="4" w:space="0" w:color="auto"/>
              <w:bottom w:val="single" w:sz="4" w:space="0" w:color="auto"/>
              <w:right w:val="single" w:sz="4" w:space="0" w:color="auto"/>
            </w:tcBorders>
            <w:vAlign w:val="center"/>
          </w:tcPr>
          <w:p w:rsidR="00FB529E" w:rsidRDefault="00FB529E" w:rsidP="00461E68">
            <w:pPr>
              <w:tabs>
                <w:tab w:val="left" w:pos="960"/>
              </w:tabs>
              <w:jc w:val="right"/>
              <w:rPr>
                <w:rFonts w:ascii="Cambria" w:hAnsi="Cambria"/>
                <w:sz w:val="20"/>
                <w:szCs w:val="20"/>
              </w:rPr>
            </w:pPr>
            <w:r>
              <w:rPr>
                <w:rFonts w:ascii="Cambria" w:hAnsi="Cambria"/>
                <w:sz w:val="20"/>
                <w:szCs w:val="20"/>
              </w:rPr>
              <w:t>33,712</w:t>
            </w:r>
          </w:p>
        </w:tc>
        <w:tc>
          <w:tcPr>
            <w:tcW w:w="1417" w:type="dxa"/>
            <w:tcBorders>
              <w:top w:val="single" w:sz="4" w:space="0" w:color="auto"/>
              <w:left w:val="single" w:sz="4" w:space="0" w:color="auto"/>
              <w:bottom w:val="single" w:sz="4" w:space="0" w:color="auto"/>
              <w:right w:val="single" w:sz="4" w:space="0" w:color="auto"/>
            </w:tcBorders>
            <w:vAlign w:val="center"/>
          </w:tcPr>
          <w:p w:rsidR="00FB529E" w:rsidRDefault="00FB529E" w:rsidP="00461E68">
            <w:pPr>
              <w:tabs>
                <w:tab w:val="left" w:pos="960"/>
              </w:tabs>
              <w:jc w:val="right"/>
              <w:rPr>
                <w:rFonts w:ascii="Cambria" w:hAnsi="Cambria"/>
                <w:sz w:val="20"/>
                <w:szCs w:val="20"/>
              </w:rPr>
            </w:pPr>
            <w:r>
              <w:rPr>
                <w:rFonts w:ascii="Cambria" w:hAnsi="Cambria"/>
                <w:sz w:val="20"/>
                <w:szCs w:val="20"/>
              </w:rPr>
              <w:t>1,609</w:t>
            </w:r>
          </w:p>
        </w:tc>
        <w:tc>
          <w:tcPr>
            <w:tcW w:w="1633" w:type="dxa"/>
            <w:tcBorders>
              <w:top w:val="single" w:sz="4" w:space="0" w:color="auto"/>
              <w:left w:val="single" w:sz="4" w:space="0" w:color="auto"/>
              <w:bottom w:val="single" w:sz="4" w:space="0" w:color="auto"/>
              <w:right w:val="single" w:sz="12" w:space="0" w:color="auto"/>
            </w:tcBorders>
            <w:vAlign w:val="center"/>
          </w:tcPr>
          <w:p w:rsidR="00FB529E" w:rsidRDefault="00FB529E" w:rsidP="00461E68">
            <w:pPr>
              <w:tabs>
                <w:tab w:val="left" w:pos="960"/>
              </w:tabs>
              <w:jc w:val="right"/>
              <w:rPr>
                <w:rFonts w:ascii="Cambria" w:hAnsi="Cambria"/>
                <w:sz w:val="20"/>
                <w:szCs w:val="20"/>
              </w:rPr>
            </w:pPr>
            <w:r>
              <w:rPr>
                <w:rFonts w:ascii="Cambria" w:hAnsi="Cambria"/>
                <w:sz w:val="20"/>
                <w:szCs w:val="20"/>
              </w:rPr>
              <w:t>4.8%</w:t>
            </w:r>
          </w:p>
        </w:tc>
      </w:tr>
      <w:tr w:rsidR="00FB529E" w:rsidTr="00461E68">
        <w:trPr>
          <w:trHeight w:val="481"/>
        </w:trPr>
        <w:tc>
          <w:tcPr>
            <w:tcW w:w="2977" w:type="dxa"/>
            <w:tcBorders>
              <w:top w:val="single" w:sz="4" w:space="0" w:color="auto"/>
              <w:left w:val="single" w:sz="4" w:space="0" w:color="auto"/>
              <w:bottom w:val="single" w:sz="4" w:space="0" w:color="auto"/>
              <w:right w:val="single" w:sz="18" w:space="0" w:color="auto"/>
            </w:tcBorders>
            <w:vAlign w:val="center"/>
            <w:hideMark/>
          </w:tcPr>
          <w:p w:rsidR="00FB529E" w:rsidRDefault="00FB529E" w:rsidP="001A672F">
            <w:pPr>
              <w:tabs>
                <w:tab w:val="left" w:pos="960"/>
              </w:tabs>
              <w:rPr>
                <w:rFonts w:ascii="Cambria" w:hAnsi="Cambria"/>
                <w:sz w:val="20"/>
                <w:szCs w:val="20"/>
              </w:rPr>
            </w:pPr>
            <w:r>
              <w:rPr>
                <w:rFonts w:ascii="Cambria" w:hAnsi="Cambria"/>
                <w:sz w:val="20"/>
                <w:szCs w:val="20"/>
              </w:rPr>
              <w:t>Cork University Hospital</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110,241</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105,528</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4,714</w:t>
            </w:r>
          </w:p>
        </w:tc>
        <w:tc>
          <w:tcPr>
            <w:tcW w:w="1633" w:type="dxa"/>
            <w:tcBorders>
              <w:top w:val="single" w:sz="4" w:space="0" w:color="auto"/>
              <w:left w:val="single" w:sz="4" w:space="0" w:color="auto"/>
              <w:bottom w:val="single" w:sz="4" w:space="0" w:color="auto"/>
              <w:right w:val="single" w:sz="12"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4.5%</w:t>
            </w:r>
          </w:p>
        </w:tc>
      </w:tr>
      <w:tr w:rsidR="00FB529E" w:rsidTr="00C83392">
        <w:trPr>
          <w:trHeight w:val="598"/>
        </w:trPr>
        <w:tc>
          <w:tcPr>
            <w:tcW w:w="2977" w:type="dxa"/>
            <w:tcBorders>
              <w:top w:val="single" w:sz="4" w:space="0" w:color="auto"/>
              <w:left w:val="single" w:sz="4" w:space="0" w:color="auto"/>
              <w:bottom w:val="single" w:sz="4" w:space="0" w:color="auto"/>
              <w:right w:val="single" w:sz="18" w:space="0" w:color="auto"/>
            </w:tcBorders>
            <w:vAlign w:val="center"/>
            <w:hideMark/>
          </w:tcPr>
          <w:p w:rsidR="00FB529E" w:rsidRDefault="00FB529E" w:rsidP="001A672F">
            <w:pPr>
              <w:tabs>
                <w:tab w:val="left" w:pos="960"/>
              </w:tabs>
              <w:rPr>
                <w:rFonts w:ascii="Cambria" w:hAnsi="Cambria"/>
                <w:sz w:val="20"/>
                <w:szCs w:val="20"/>
              </w:rPr>
            </w:pPr>
            <w:r>
              <w:rPr>
                <w:rFonts w:ascii="Cambria" w:hAnsi="Cambria"/>
                <w:sz w:val="20"/>
                <w:szCs w:val="20"/>
              </w:rPr>
              <w:t>Galway College University Hospital</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113,652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108,920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4,731</w:t>
            </w:r>
          </w:p>
        </w:tc>
        <w:tc>
          <w:tcPr>
            <w:tcW w:w="1633" w:type="dxa"/>
            <w:tcBorders>
              <w:top w:val="single" w:sz="4" w:space="0" w:color="auto"/>
              <w:left w:val="single" w:sz="4" w:space="0" w:color="auto"/>
              <w:bottom w:val="single" w:sz="4" w:space="0" w:color="auto"/>
              <w:right w:val="single" w:sz="12" w:space="0" w:color="auto"/>
            </w:tcBorders>
            <w:vAlign w:val="center"/>
            <w:hideMark/>
          </w:tcPr>
          <w:p w:rsidR="00FB529E" w:rsidRDefault="00FB529E" w:rsidP="00461E68">
            <w:pPr>
              <w:tabs>
                <w:tab w:val="left" w:pos="960"/>
              </w:tabs>
              <w:jc w:val="right"/>
              <w:rPr>
                <w:rFonts w:ascii="Cambria" w:hAnsi="Cambria"/>
                <w:sz w:val="20"/>
                <w:szCs w:val="20"/>
              </w:rPr>
            </w:pPr>
            <w:r>
              <w:rPr>
                <w:rFonts w:ascii="Cambria" w:hAnsi="Cambria"/>
                <w:sz w:val="20"/>
                <w:szCs w:val="20"/>
              </w:rPr>
              <w:t>4.3%</w:t>
            </w:r>
          </w:p>
        </w:tc>
      </w:tr>
    </w:tbl>
    <w:p w:rsidR="00FB529E" w:rsidRPr="004A4EF3" w:rsidRDefault="00FB529E" w:rsidP="001A672F">
      <w:pPr>
        <w:tabs>
          <w:tab w:val="left" w:pos="0"/>
        </w:tabs>
        <w:rPr>
          <w:i/>
          <w:sz w:val="20"/>
          <w:szCs w:val="20"/>
        </w:rPr>
      </w:pPr>
      <w:r>
        <w:rPr>
          <w:i/>
          <w:sz w:val="20"/>
          <w:szCs w:val="20"/>
        </w:rPr>
        <w:t xml:space="preserve">Source: May 2014 HSE Performance Report </w:t>
      </w:r>
    </w:p>
    <w:p w:rsidR="00FB529E" w:rsidRDefault="00FB529E" w:rsidP="00661F62">
      <w:pPr>
        <w:tabs>
          <w:tab w:val="left" w:pos="0"/>
        </w:tabs>
        <w:rPr>
          <w:sz w:val="20"/>
          <w:szCs w:val="20"/>
        </w:rPr>
      </w:pPr>
      <w:r>
        <w:rPr>
          <w:sz w:val="20"/>
          <w:szCs w:val="20"/>
        </w:rPr>
        <w:br w:type="page"/>
      </w:r>
    </w:p>
    <w:p w:rsidR="00FB529E" w:rsidRDefault="00FB529E" w:rsidP="00FB529E">
      <w:pPr>
        <w:numPr>
          <w:ilvl w:val="1"/>
          <w:numId w:val="8"/>
        </w:numPr>
        <w:tabs>
          <w:tab w:val="left" w:pos="0"/>
        </w:tabs>
        <w:ind w:left="0" w:hanging="437"/>
        <w:jc w:val="both"/>
        <w:rPr>
          <w:sz w:val="20"/>
          <w:szCs w:val="20"/>
        </w:rPr>
      </w:pPr>
      <w:r w:rsidRPr="00B510B7">
        <w:rPr>
          <w:sz w:val="20"/>
          <w:szCs w:val="20"/>
        </w:rPr>
        <w:lastRenderedPageBreak/>
        <w:t>OECD data confirms that, between 2009 and 2011</w:t>
      </w:r>
      <w:r>
        <w:rPr>
          <w:sz w:val="20"/>
          <w:szCs w:val="20"/>
        </w:rPr>
        <w:t xml:space="preserve">, </w:t>
      </w:r>
      <w:r w:rsidRPr="00B510B7">
        <w:rPr>
          <w:sz w:val="20"/>
          <w:szCs w:val="20"/>
        </w:rPr>
        <w:t>Ireland</w:t>
      </w:r>
      <w:r>
        <w:rPr>
          <w:sz w:val="20"/>
          <w:szCs w:val="20"/>
        </w:rPr>
        <w:t>’s healthcare funding has been cut by 6.6%,</w:t>
      </w:r>
      <w:r w:rsidRPr="00B510B7">
        <w:rPr>
          <w:sz w:val="20"/>
          <w:szCs w:val="20"/>
        </w:rPr>
        <w:t xml:space="preserve"> </w:t>
      </w:r>
      <w:r>
        <w:rPr>
          <w:sz w:val="20"/>
          <w:szCs w:val="20"/>
        </w:rPr>
        <w:t xml:space="preserve">in real terms over the period, which is </w:t>
      </w:r>
      <w:r w:rsidRPr="00B510B7">
        <w:rPr>
          <w:sz w:val="20"/>
          <w:szCs w:val="20"/>
        </w:rPr>
        <w:t>the second highest reduction in</w:t>
      </w:r>
      <w:r>
        <w:rPr>
          <w:sz w:val="20"/>
          <w:szCs w:val="20"/>
        </w:rPr>
        <w:t xml:space="preserve"> the OECD as outlined in Figure 3</w:t>
      </w:r>
      <w:r w:rsidRPr="00B510B7">
        <w:rPr>
          <w:sz w:val="20"/>
          <w:szCs w:val="20"/>
        </w:rPr>
        <w:t>.  This compares unfavo</w:t>
      </w:r>
      <w:r>
        <w:rPr>
          <w:sz w:val="20"/>
          <w:szCs w:val="20"/>
        </w:rPr>
        <w:t>u</w:t>
      </w:r>
      <w:r w:rsidRPr="00B510B7">
        <w:rPr>
          <w:sz w:val="20"/>
          <w:szCs w:val="20"/>
        </w:rPr>
        <w:t xml:space="preserve">rably with </w:t>
      </w:r>
      <w:r>
        <w:rPr>
          <w:sz w:val="20"/>
          <w:szCs w:val="20"/>
        </w:rPr>
        <w:t xml:space="preserve">Austria, Belgium, France, Germany, </w:t>
      </w:r>
      <w:r w:rsidRPr="00B510B7">
        <w:rPr>
          <w:sz w:val="20"/>
          <w:szCs w:val="20"/>
        </w:rPr>
        <w:t>Netherlands,</w:t>
      </w:r>
      <w:r>
        <w:rPr>
          <w:sz w:val="20"/>
          <w:szCs w:val="20"/>
        </w:rPr>
        <w:t xml:space="preserve"> Australia,</w:t>
      </w:r>
      <w:r w:rsidRPr="00B510B7">
        <w:rPr>
          <w:sz w:val="20"/>
          <w:szCs w:val="20"/>
        </w:rPr>
        <w:t xml:space="preserve"> New Zealand, Canada and the United States, all of which have increased their health funding. </w:t>
      </w:r>
      <w:r>
        <w:rPr>
          <w:sz w:val="20"/>
          <w:szCs w:val="20"/>
        </w:rPr>
        <w:t>Overall,</w:t>
      </w:r>
      <w:r w:rsidRPr="00B510B7">
        <w:rPr>
          <w:sz w:val="20"/>
          <w:szCs w:val="20"/>
        </w:rPr>
        <w:t xml:space="preserve"> </w:t>
      </w:r>
      <w:r>
        <w:rPr>
          <w:sz w:val="20"/>
          <w:szCs w:val="20"/>
        </w:rPr>
        <w:t xml:space="preserve">health spending in most EU countries has increased over the same period. </w:t>
      </w:r>
      <w:r w:rsidRPr="00B510B7">
        <w:rPr>
          <w:sz w:val="20"/>
          <w:szCs w:val="20"/>
        </w:rPr>
        <w:t xml:space="preserve"> </w:t>
      </w:r>
    </w:p>
    <w:p w:rsidR="00FB529E" w:rsidRDefault="00FB529E" w:rsidP="00B510B7">
      <w:pPr>
        <w:keepNext/>
        <w:tabs>
          <w:tab w:val="left" w:pos="0"/>
        </w:tabs>
        <w:rPr>
          <w:sz w:val="20"/>
          <w:szCs w:val="20"/>
        </w:rPr>
      </w:pPr>
    </w:p>
    <w:p w:rsidR="00FB529E" w:rsidRPr="00C044DC" w:rsidRDefault="00FB529E" w:rsidP="00B510B7">
      <w:pPr>
        <w:keepNext/>
        <w:tabs>
          <w:tab w:val="left" w:pos="0"/>
        </w:tabs>
        <w:rPr>
          <w:rFonts w:ascii="Cambria" w:hAnsi="Cambria"/>
          <w:i/>
          <w:sz w:val="20"/>
          <w:szCs w:val="20"/>
        </w:rPr>
      </w:pPr>
      <w:r>
        <w:rPr>
          <w:b/>
          <w:i/>
          <w:sz w:val="20"/>
          <w:szCs w:val="20"/>
        </w:rPr>
        <w:t>Figure 3</w:t>
      </w:r>
      <w:r w:rsidRPr="00FE7B42">
        <w:rPr>
          <w:b/>
          <w:i/>
          <w:sz w:val="20"/>
          <w:szCs w:val="20"/>
        </w:rPr>
        <w:t xml:space="preserve">: </w:t>
      </w:r>
      <w:r>
        <w:rPr>
          <w:b/>
          <w:i/>
          <w:sz w:val="20"/>
          <w:szCs w:val="20"/>
        </w:rPr>
        <w:t>annual average growth rate in per capita health expenditure, real terms, 2009 to 2011</w:t>
      </w:r>
    </w:p>
    <w:p w:rsidR="00FB529E" w:rsidRPr="00B510B7" w:rsidRDefault="00FB529E" w:rsidP="00B510B7">
      <w:pPr>
        <w:tabs>
          <w:tab w:val="left" w:pos="0"/>
        </w:tabs>
        <w:ind w:left="11"/>
        <w:rPr>
          <w:sz w:val="20"/>
          <w:szCs w:val="20"/>
        </w:rPr>
      </w:pPr>
      <w:r w:rsidRPr="00B510B7">
        <w:rPr>
          <w:noProof/>
          <w:sz w:val="20"/>
          <w:szCs w:val="20"/>
        </w:rPr>
        <w:pict>
          <v:shape id="Chart 2" o:spid="_x0000_i1029" type="#_x0000_t75" style="width:459pt;height:291.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TVjDl2wAAAAUBAAAPAAAAZHJzL2Rvd25y&#10;ZXYueG1sTI/BTsMwEETvSPyDtUhcUOuE0iqEOBWKxIVLRQFx3cZLnBLbke224e9ZuJTLSKNZzbyt&#10;1pMdxJFC7L1TkM8zEORar3vXKXh7fZoVIGJCp3HwjhR8U4R1fXlRYan9yb3QcZs6wSUulqjApDSW&#10;UsbWkMU49yM5zj59sJjYhk7qgCcut4O8zbKVtNg7XjA4UmOo/doerAKNzX7TvN9ki7wL5nm/oY+7&#10;lpS6vpoeH0AkmtL5GH7xGR1qZtr5g9NRDAr4kfSnnN3nBdudgmWxWIKsK/mfvv4B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">
            <v:imagedata r:id="rId14" o:title="" croptop="-1109f" cropbottom="-751f" cropleft="-2806f" cropright="-2230f"/>
            <o:lock v:ext="edit" aspectratio="f"/>
          </v:shape>
        </w:pict>
      </w:r>
    </w:p>
    <w:p w:rsidR="00FB529E" w:rsidRDefault="00FB529E" w:rsidP="00B510B7">
      <w:pPr>
        <w:keepNext/>
        <w:tabs>
          <w:tab w:val="left" w:pos="0"/>
        </w:tabs>
        <w:rPr>
          <w:sz w:val="20"/>
          <w:szCs w:val="20"/>
        </w:rPr>
      </w:pPr>
    </w:p>
    <w:p w:rsidR="00FB529E" w:rsidRPr="006C6A5C" w:rsidRDefault="00FB529E" w:rsidP="00B510B7">
      <w:pPr>
        <w:keepNext/>
        <w:tabs>
          <w:tab w:val="left" w:pos="0"/>
        </w:tabs>
        <w:rPr>
          <w:i/>
          <w:sz w:val="20"/>
          <w:szCs w:val="20"/>
        </w:rPr>
      </w:pPr>
      <w:r w:rsidRPr="006C6A5C">
        <w:rPr>
          <w:i/>
          <w:sz w:val="20"/>
          <w:szCs w:val="20"/>
        </w:rPr>
        <w:t>Source: OECD Health Statistics 2014</w:t>
      </w:r>
    </w:p>
    <w:p w:rsidR="00FB529E" w:rsidRDefault="00FB529E" w:rsidP="00B510B7">
      <w:pPr>
        <w:tabs>
          <w:tab w:val="left" w:pos="0"/>
        </w:tabs>
        <w:ind w:hanging="414"/>
        <w:rPr>
          <w:sz w:val="20"/>
          <w:szCs w:val="20"/>
        </w:rPr>
      </w:pPr>
    </w:p>
    <w:p w:rsidR="00FB529E" w:rsidRPr="00123804" w:rsidRDefault="00FB529E" w:rsidP="00FB529E">
      <w:pPr>
        <w:numPr>
          <w:ilvl w:val="1"/>
          <w:numId w:val="8"/>
        </w:numPr>
        <w:ind w:left="0" w:hanging="426"/>
        <w:jc w:val="both"/>
        <w:rPr>
          <w:rFonts w:cs="Arial"/>
          <w:sz w:val="20"/>
          <w:szCs w:val="20"/>
        </w:rPr>
      </w:pPr>
      <w:r>
        <w:rPr>
          <w:rFonts w:cs="Arial"/>
          <w:sz w:val="20"/>
          <w:szCs w:val="20"/>
        </w:rPr>
        <w:t>T</w:t>
      </w:r>
      <w:r w:rsidRPr="00843E63">
        <w:rPr>
          <w:rFonts w:cs="Arial"/>
          <w:sz w:val="20"/>
          <w:szCs w:val="20"/>
        </w:rPr>
        <w:t xml:space="preserve">otal health spending in </w:t>
      </w:r>
      <w:r w:rsidRPr="006C6A5C">
        <w:rPr>
          <w:rFonts w:cs="Arial,Bold"/>
          <w:bCs/>
          <w:sz w:val="20"/>
          <w:szCs w:val="20"/>
        </w:rPr>
        <w:t>Ireland</w:t>
      </w:r>
      <w:r w:rsidRPr="00843E63">
        <w:rPr>
          <w:rFonts w:cs="Arial,Bold"/>
          <w:b/>
          <w:bCs/>
          <w:sz w:val="20"/>
          <w:szCs w:val="20"/>
        </w:rPr>
        <w:t xml:space="preserve"> </w:t>
      </w:r>
      <w:r>
        <w:rPr>
          <w:rFonts w:cs="Arial"/>
          <w:sz w:val="20"/>
          <w:szCs w:val="20"/>
        </w:rPr>
        <w:t xml:space="preserve">in 2012 </w:t>
      </w:r>
      <w:r w:rsidRPr="00843E63">
        <w:rPr>
          <w:rFonts w:cs="Arial"/>
          <w:sz w:val="20"/>
          <w:szCs w:val="20"/>
        </w:rPr>
        <w:t>accounted for 8.9% of GDP</w:t>
      </w:r>
      <w:r>
        <w:rPr>
          <w:rFonts w:cs="Arial"/>
          <w:sz w:val="20"/>
          <w:szCs w:val="20"/>
        </w:rPr>
        <w:t xml:space="preserve"> which is significantly below</w:t>
      </w:r>
      <w:r w:rsidRPr="00843E63">
        <w:rPr>
          <w:rFonts w:cs="Arial"/>
          <w:sz w:val="20"/>
          <w:szCs w:val="20"/>
        </w:rPr>
        <w:t xml:space="preserve"> the OECD</w:t>
      </w:r>
      <w:r>
        <w:rPr>
          <w:sz w:val="20"/>
          <w:szCs w:val="20"/>
        </w:rPr>
        <w:t xml:space="preserve"> </w:t>
      </w:r>
      <w:r w:rsidRPr="00843E63">
        <w:rPr>
          <w:rFonts w:cs="Arial"/>
          <w:sz w:val="20"/>
          <w:szCs w:val="20"/>
        </w:rPr>
        <w:t>average of 9.3%</w:t>
      </w:r>
      <w:r>
        <w:rPr>
          <w:rFonts w:cs="Arial"/>
          <w:sz w:val="20"/>
          <w:szCs w:val="20"/>
        </w:rPr>
        <w:t xml:space="preserve"> as outlined in Figure 4</w:t>
      </w:r>
      <w:r w:rsidRPr="00843E63">
        <w:rPr>
          <w:rFonts w:cs="Arial"/>
          <w:sz w:val="20"/>
          <w:szCs w:val="20"/>
        </w:rPr>
        <w:t>. Health spending</w:t>
      </w:r>
      <w:r>
        <w:rPr>
          <w:rFonts w:cs="Arial"/>
          <w:sz w:val="20"/>
          <w:szCs w:val="20"/>
        </w:rPr>
        <w:t>,</w:t>
      </w:r>
      <w:r w:rsidRPr="00843E63">
        <w:rPr>
          <w:rFonts w:cs="Arial"/>
          <w:sz w:val="20"/>
          <w:szCs w:val="20"/>
        </w:rPr>
        <w:t xml:space="preserve"> as a share of GDP is much lower</w:t>
      </w:r>
      <w:r>
        <w:rPr>
          <w:rFonts w:cs="Arial"/>
          <w:sz w:val="20"/>
          <w:szCs w:val="20"/>
        </w:rPr>
        <w:t xml:space="preserve"> in Ireland</w:t>
      </w:r>
      <w:r w:rsidRPr="00843E63">
        <w:rPr>
          <w:rFonts w:cs="Arial,Bold"/>
          <w:b/>
          <w:bCs/>
          <w:sz w:val="20"/>
          <w:szCs w:val="20"/>
        </w:rPr>
        <w:t xml:space="preserve"> </w:t>
      </w:r>
      <w:r>
        <w:rPr>
          <w:rFonts w:cs="Arial"/>
          <w:sz w:val="20"/>
          <w:szCs w:val="20"/>
        </w:rPr>
        <w:t xml:space="preserve">than in other European Countries such as Austria, Denmark, </w:t>
      </w:r>
      <w:r w:rsidRPr="00843E63">
        <w:rPr>
          <w:rFonts w:cs="Arial"/>
          <w:sz w:val="20"/>
          <w:szCs w:val="20"/>
        </w:rPr>
        <w:t>France</w:t>
      </w:r>
      <w:r>
        <w:rPr>
          <w:rFonts w:cs="Arial"/>
          <w:sz w:val="20"/>
          <w:szCs w:val="20"/>
        </w:rPr>
        <w:t>,</w:t>
      </w:r>
      <w:r w:rsidRPr="006C6A5C">
        <w:rPr>
          <w:rFonts w:cs="Arial"/>
          <w:sz w:val="20"/>
          <w:szCs w:val="20"/>
        </w:rPr>
        <w:t xml:space="preserve"> </w:t>
      </w:r>
      <w:r w:rsidRPr="00843E63">
        <w:rPr>
          <w:rFonts w:cs="Arial"/>
          <w:sz w:val="20"/>
          <w:szCs w:val="20"/>
        </w:rPr>
        <w:t>Germany</w:t>
      </w:r>
      <w:r>
        <w:rPr>
          <w:rFonts w:cs="Arial"/>
          <w:sz w:val="20"/>
          <w:szCs w:val="20"/>
        </w:rPr>
        <w:t>,</w:t>
      </w:r>
      <w:r w:rsidRPr="00843E63">
        <w:rPr>
          <w:rFonts w:cs="Arial"/>
          <w:sz w:val="20"/>
          <w:szCs w:val="20"/>
        </w:rPr>
        <w:t xml:space="preserve"> the</w:t>
      </w:r>
      <w:r>
        <w:rPr>
          <w:sz w:val="20"/>
          <w:szCs w:val="20"/>
        </w:rPr>
        <w:t xml:space="preserve"> </w:t>
      </w:r>
      <w:r w:rsidRPr="00843E63">
        <w:rPr>
          <w:rFonts w:cs="Arial"/>
          <w:sz w:val="20"/>
          <w:szCs w:val="20"/>
        </w:rPr>
        <w:t>Netherlands</w:t>
      </w:r>
      <w:r>
        <w:rPr>
          <w:rFonts w:cs="Arial"/>
          <w:sz w:val="20"/>
          <w:szCs w:val="20"/>
        </w:rPr>
        <w:t xml:space="preserve"> and Switzerland</w:t>
      </w:r>
      <w:r w:rsidRPr="00843E63">
        <w:rPr>
          <w:rFonts w:cs="Arial"/>
          <w:sz w:val="20"/>
          <w:szCs w:val="20"/>
        </w:rPr>
        <w:t xml:space="preserve"> </w:t>
      </w:r>
      <w:r>
        <w:rPr>
          <w:rFonts w:cs="Arial"/>
          <w:sz w:val="20"/>
          <w:szCs w:val="20"/>
        </w:rPr>
        <w:t>where it</w:t>
      </w:r>
      <w:r w:rsidRPr="00123804">
        <w:rPr>
          <w:rFonts w:cs="Arial"/>
          <w:sz w:val="20"/>
          <w:szCs w:val="20"/>
        </w:rPr>
        <w:t xml:space="preserve"> accounts for 11% or more of GDP. </w:t>
      </w:r>
    </w:p>
    <w:p w:rsidR="00FB529E" w:rsidRDefault="00FB529E" w:rsidP="002914D2">
      <w:pPr>
        <w:tabs>
          <w:tab w:val="left" w:pos="0"/>
        </w:tabs>
        <w:ind w:hanging="426"/>
        <w:rPr>
          <w:sz w:val="20"/>
          <w:szCs w:val="20"/>
        </w:rPr>
      </w:pPr>
    </w:p>
    <w:p w:rsidR="00FB529E" w:rsidRPr="001B069D" w:rsidRDefault="00FB529E" w:rsidP="009A3961">
      <w:pPr>
        <w:keepNext/>
        <w:tabs>
          <w:tab w:val="left" w:pos="0"/>
        </w:tabs>
        <w:ind w:left="-414"/>
        <w:rPr>
          <w:i/>
          <w:sz w:val="20"/>
          <w:szCs w:val="20"/>
        </w:rPr>
      </w:pPr>
      <w:r>
        <w:rPr>
          <w:b/>
          <w:i/>
          <w:sz w:val="20"/>
          <w:szCs w:val="20"/>
        </w:rPr>
        <w:lastRenderedPageBreak/>
        <w:t>Figure 4</w:t>
      </w:r>
      <w:r w:rsidRPr="001B069D">
        <w:rPr>
          <w:b/>
          <w:i/>
          <w:sz w:val="20"/>
          <w:szCs w:val="20"/>
        </w:rPr>
        <w:t xml:space="preserve">: </w:t>
      </w:r>
      <w:r w:rsidRPr="001B069D">
        <w:rPr>
          <w:rFonts w:cs="Arial,Bold"/>
          <w:b/>
          <w:bCs/>
          <w:i/>
          <w:sz w:val="20"/>
          <w:szCs w:val="20"/>
        </w:rPr>
        <w:t xml:space="preserve">Health </w:t>
      </w:r>
      <w:r>
        <w:rPr>
          <w:rFonts w:cs="Arial,Bold"/>
          <w:b/>
          <w:bCs/>
          <w:i/>
          <w:sz w:val="20"/>
          <w:szCs w:val="20"/>
        </w:rPr>
        <w:t>expenditure</w:t>
      </w:r>
      <w:r w:rsidRPr="001B069D">
        <w:rPr>
          <w:rFonts w:cs="Arial,Bold"/>
          <w:b/>
          <w:bCs/>
          <w:i/>
          <w:sz w:val="20"/>
          <w:szCs w:val="20"/>
        </w:rPr>
        <w:t xml:space="preserve"> as a share of GDP, OECD countries, 2012 or latest year</w:t>
      </w:r>
    </w:p>
    <w:p w:rsidR="00FB529E" w:rsidRDefault="00FB529E" w:rsidP="009A3961">
      <w:pPr>
        <w:tabs>
          <w:tab w:val="left" w:pos="0"/>
        </w:tabs>
        <w:ind w:hanging="426"/>
        <w:rPr>
          <w:sz w:val="20"/>
          <w:szCs w:val="20"/>
        </w:rPr>
      </w:pPr>
      <w:r>
        <w:rPr>
          <w:noProof/>
        </w:rPr>
      </w:r>
      <w:r>
        <w:rPr>
          <w:sz w:val="20"/>
          <w:szCs w:val="20"/>
        </w:rPr>
        <w:pict>
          <v:group id="_x0000_s1026" editas="canvas" style="width:468.5pt;height:305pt;mso-position-horizontal-relative:char;mso-position-vertical-relative:line" coordsize="9370,6100">
            <o:lock v:ext="edit" aspectratio="t"/>
            <v:shape id="_x0000_s1027" type="#_x0000_t75" style="position:absolute;width:9370;height:6100" o:preferrelative="f">
              <v:fill o:detectmouseclick="t"/>
              <v:path o:extrusionok="t" o:connecttype="none"/>
              <o:lock v:ext="edit" text="t"/>
            </v:shape>
            <v:shape id="_x0000_s1028" type="#_x0000_t75" style="position:absolute;width:9370;height:6100">
              <v:imagedata r:id="rId15" o:title=""/>
            </v:shape>
            <w10:wrap type="none"/>
            <w10:anchorlock/>
          </v:group>
        </w:pict>
      </w:r>
    </w:p>
    <w:p w:rsidR="00FB529E" w:rsidRDefault="00FB529E" w:rsidP="001B069D">
      <w:pPr>
        <w:shd w:val="clear" w:color="auto" w:fill="EEECE1"/>
        <w:tabs>
          <w:tab w:val="left" w:pos="960"/>
        </w:tabs>
        <w:rPr>
          <w:b/>
          <w:sz w:val="20"/>
          <w:szCs w:val="20"/>
        </w:rPr>
      </w:pPr>
      <w:r w:rsidRPr="00102F1C">
        <w:rPr>
          <w:b/>
          <w:sz w:val="20"/>
          <w:szCs w:val="20"/>
        </w:rPr>
        <w:t>IHCA Submission:</w:t>
      </w:r>
    </w:p>
    <w:p w:rsidR="00FB529E" w:rsidRPr="00BD505C" w:rsidRDefault="00FB529E" w:rsidP="001B069D">
      <w:pPr>
        <w:shd w:val="clear" w:color="auto" w:fill="EEECE1"/>
        <w:tabs>
          <w:tab w:val="left" w:pos="960"/>
        </w:tabs>
        <w:rPr>
          <w:sz w:val="20"/>
          <w:szCs w:val="20"/>
        </w:rPr>
      </w:pPr>
      <w:r w:rsidRPr="00BD505C">
        <w:rPr>
          <w:sz w:val="20"/>
          <w:szCs w:val="20"/>
        </w:rPr>
        <w:t>There is a pressing need to increase frontline acute hospital resources in the 2015 Budget to enable the delivery of high quality, safe care to patients in contrast with the current overstretched situation. Otherwise, the delivery of care will be adversely affected leading to increased delays in treating patients and growing numbers on waiting lists. It is a major concern that acute hospital expenditure in treating patients requiring care in the first five months of 2014 was €104.8m over budget and that the scale of the underfunding in eight acute hospitals was between 10% and 21%.  If increased resources are not provided, it will increase the risk that a growing number of patients will not be treated within a medically appropriate timeframe. Underfunding of acute hospitals is a matter that needs to be urgently addressed in the 2015 Budget.</w:t>
      </w:r>
    </w:p>
    <w:p w:rsidR="00FB529E" w:rsidRDefault="00FB529E" w:rsidP="0022409E">
      <w:pPr>
        <w:pStyle w:val="Style1"/>
        <w:tabs>
          <w:tab w:val="clear" w:pos="360"/>
        </w:tabs>
        <w:spacing w:before="0"/>
        <w:jc w:val="left"/>
        <w:rPr>
          <w:rFonts w:ascii="Calibri" w:hAnsi="Calibri"/>
          <w:color w:val="auto"/>
          <w:sz w:val="28"/>
          <w:szCs w:val="28"/>
          <w:lang w:val="en-GB"/>
        </w:rPr>
      </w:pPr>
    </w:p>
    <w:p w:rsidR="00FB529E" w:rsidRPr="00102F1C" w:rsidRDefault="00FB529E" w:rsidP="00602E23">
      <w:pPr>
        <w:pStyle w:val="Style3"/>
      </w:pPr>
      <w:bookmarkStart w:id="10" w:name="_Toc393724540"/>
      <w:bookmarkStart w:id="11" w:name="_Toc393875681"/>
      <w:r>
        <w:t xml:space="preserve">Patient </w:t>
      </w:r>
      <w:r w:rsidRPr="00102F1C">
        <w:t>Demand for Acute Hospital Care</w:t>
      </w:r>
      <w:r>
        <w:t xml:space="preserve"> continues to exceed NSP targets.</w:t>
      </w:r>
      <w:bookmarkEnd w:id="10"/>
      <w:bookmarkEnd w:id="11"/>
    </w:p>
    <w:p w:rsidR="00FB529E" w:rsidRPr="006E10CC" w:rsidRDefault="00FB529E" w:rsidP="00FB529E">
      <w:pPr>
        <w:pStyle w:val="ListParagraph"/>
        <w:numPr>
          <w:ilvl w:val="0"/>
          <w:numId w:val="8"/>
        </w:numPr>
        <w:tabs>
          <w:tab w:val="left" w:pos="0"/>
        </w:tabs>
        <w:contextualSpacing w:val="0"/>
        <w:jc w:val="both"/>
        <w:rPr>
          <w:rFonts w:cs="Arial"/>
          <w:vanish/>
          <w:color w:val="FFFFFF"/>
          <w:sz w:val="6"/>
          <w:szCs w:val="6"/>
        </w:rPr>
      </w:pPr>
    </w:p>
    <w:p w:rsidR="00FB529E" w:rsidRPr="001A672F" w:rsidRDefault="00FB529E" w:rsidP="00FB529E">
      <w:pPr>
        <w:numPr>
          <w:ilvl w:val="1"/>
          <w:numId w:val="8"/>
        </w:numPr>
        <w:tabs>
          <w:tab w:val="left" w:pos="0"/>
        </w:tabs>
        <w:ind w:left="0" w:hanging="426"/>
        <w:jc w:val="both"/>
        <w:rPr>
          <w:rFonts w:cs="Arial"/>
          <w:sz w:val="20"/>
          <w:szCs w:val="20"/>
        </w:rPr>
      </w:pPr>
      <w:r w:rsidRPr="001A672F">
        <w:rPr>
          <w:rFonts w:cs="Arial"/>
          <w:sz w:val="20"/>
          <w:szCs w:val="20"/>
        </w:rPr>
        <w:t xml:space="preserve">Demand for patient care in acute public hospitals has continued to increase in recent years, driven by our ageing population and the reduction in the number of patients with private health insurance.  </w:t>
      </w:r>
    </w:p>
    <w:p w:rsidR="00FB529E" w:rsidRPr="00102F1C" w:rsidRDefault="00FB529E" w:rsidP="00437639">
      <w:pPr>
        <w:pStyle w:val="ListParagraph"/>
        <w:ind w:left="0" w:hanging="426"/>
        <w:rPr>
          <w:sz w:val="20"/>
          <w:szCs w:val="20"/>
          <w:lang w:val="en-GB"/>
        </w:rPr>
      </w:pPr>
    </w:p>
    <w:p w:rsidR="00FB529E" w:rsidRPr="001A672F" w:rsidRDefault="00FB529E" w:rsidP="00FB529E">
      <w:pPr>
        <w:numPr>
          <w:ilvl w:val="1"/>
          <w:numId w:val="8"/>
        </w:numPr>
        <w:tabs>
          <w:tab w:val="left" w:pos="0"/>
        </w:tabs>
        <w:ind w:left="0" w:hanging="426"/>
        <w:jc w:val="both"/>
        <w:rPr>
          <w:rFonts w:cs="Arial"/>
          <w:sz w:val="20"/>
          <w:szCs w:val="20"/>
        </w:rPr>
      </w:pPr>
      <w:r w:rsidRPr="001A672F">
        <w:rPr>
          <w:rFonts w:cs="Arial"/>
          <w:sz w:val="20"/>
          <w:szCs w:val="20"/>
        </w:rPr>
        <w:t xml:space="preserve">Hospital consultants and doctors have struggled in recent years to treat an increasing number of acute hospital patients due to the severe reductions in acute hospital budgets. </w:t>
      </w:r>
      <w:r>
        <w:rPr>
          <w:rFonts w:cs="Arial"/>
          <w:sz w:val="20"/>
          <w:szCs w:val="20"/>
        </w:rPr>
        <w:t>NSP</w:t>
      </w:r>
      <w:r w:rsidRPr="001A672F">
        <w:rPr>
          <w:rFonts w:cs="Arial"/>
          <w:sz w:val="20"/>
          <w:szCs w:val="20"/>
        </w:rPr>
        <w:t xml:space="preserve"> targets and related funding have consistently underestimated patient demand for hospital care, as outlined in Table 2 below.</w:t>
      </w:r>
    </w:p>
    <w:p w:rsidR="00FB529E" w:rsidRDefault="00FB529E" w:rsidP="00437639">
      <w:pPr>
        <w:pStyle w:val="ListParagraph"/>
        <w:ind w:left="0" w:hanging="426"/>
        <w:rPr>
          <w:sz w:val="20"/>
          <w:szCs w:val="20"/>
          <w:lang w:val="en-GB"/>
        </w:rPr>
      </w:pPr>
    </w:p>
    <w:p w:rsidR="00FB529E" w:rsidRPr="006C6A5C" w:rsidRDefault="00FB529E" w:rsidP="00FB529E">
      <w:pPr>
        <w:pStyle w:val="ListParagraph"/>
        <w:numPr>
          <w:ilvl w:val="1"/>
          <w:numId w:val="8"/>
        </w:numPr>
        <w:ind w:left="0" w:hanging="426"/>
        <w:jc w:val="both"/>
        <w:rPr>
          <w:sz w:val="20"/>
          <w:szCs w:val="20"/>
          <w:lang w:val="en-GB"/>
        </w:rPr>
      </w:pPr>
      <w:r w:rsidRPr="001A672F">
        <w:rPr>
          <w:rFonts w:cs="Arial"/>
          <w:sz w:val="20"/>
          <w:szCs w:val="20"/>
        </w:rPr>
        <w:t>Table 2 and Figure 5 confirm that the number of patients treated in recent years and to date in 2014 has exceeded the targets included in the NSP. This is clearly demonstrated by the increase in the number of inpatients and day case patients treated compared with the May targets in the 2014 NSP. In total 588,921 inpatients and day case patients were treated up to the end of May this year. While this is an increase of 4,958 (+0.85%) on the NSP year to date target it is a decrease of 11,970 patients (-2%) on the number of</w:t>
      </w:r>
      <w:r w:rsidRPr="006C6A5C">
        <w:rPr>
          <w:sz w:val="20"/>
          <w:szCs w:val="20"/>
        </w:rPr>
        <w:t xml:space="preserve"> patients treated in the same period last year (600,891). It is clear that the substantial cuts in hospital budgets are negatively impacting on the delivery of acute services. </w:t>
      </w:r>
      <w:r>
        <w:rPr>
          <w:sz w:val="20"/>
          <w:szCs w:val="20"/>
        </w:rPr>
        <w:t xml:space="preserve"> </w:t>
      </w:r>
    </w:p>
    <w:p w:rsidR="00FB529E" w:rsidRDefault="00FB529E" w:rsidP="006C6A5C">
      <w:pPr>
        <w:pStyle w:val="ListParagraph"/>
        <w:rPr>
          <w:sz w:val="20"/>
          <w:szCs w:val="20"/>
          <w:lang w:val="en-GB"/>
        </w:rPr>
      </w:pPr>
    </w:p>
    <w:p w:rsidR="00FB529E" w:rsidRPr="006C6A5C" w:rsidRDefault="00FB529E" w:rsidP="006C6A5C">
      <w:pPr>
        <w:pStyle w:val="ListParagraph"/>
        <w:ind w:left="0"/>
        <w:rPr>
          <w:sz w:val="20"/>
          <w:szCs w:val="20"/>
          <w:lang w:val="en-GB"/>
        </w:rPr>
      </w:pPr>
    </w:p>
    <w:p w:rsidR="00FB529E" w:rsidRDefault="00FB529E" w:rsidP="00BC13D3">
      <w:pPr>
        <w:tabs>
          <w:tab w:val="left" w:pos="960"/>
        </w:tabs>
        <w:ind w:left="-142"/>
        <w:rPr>
          <w:b/>
          <w:i/>
          <w:sz w:val="20"/>
          <w:szCs w:val="20"/>
        </w:rPr>
      </w:pPr>
      <w:r w:rsidRPr="00C044DC">
        <w:rPr>
          <w:b/>
          <w:i/>
          <w:sz w:val="20"/>
          <w:szCs w:val="20"/>
        </w:rPr>
        <w:t xml:space="preserve">Table </w:t>
      </w:r>
      <w:r>
        <w:rPr>
          <w:b/>
          <w:i/>
          <w:sz w:val="20"/>
          <w:szCs w:val="20"/>
        </w:rPr>
        <w:t>2</w:t>
      </w:r>
      <w:r w:rsidRPr="00C044DC">
        <w:rPr>
          <w:b/>
          <w:i/>
          <w:sz w:val="20"/>
          <w:szCs w:val="20"/>
        </w:rPr>
        <w:t>: Ho</w:t>
      </w:r>
      <w:r>
        <w:rPr>
          <w:b/>
          <w:i/>
          <w:sz w:val="20"/>
          <w:szCs w:val="20"/>
        </w:rPr>
        <w:t>spital Activity: 2007 – 2014</w:t>
      </w:r>
    </w:p>
    <w:tbl>
      <w:tblPr>
        <w:tblW w:w="10497"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7"/>
        <w:gridCol w:w="992"/>
        <w:gridCol w:w="851"/>
        <w:gridCol w:w="981"/>
        <w:gridCol w:w="853"/>
        <w:gridCol w:w="853"/>
        <w:gridCol w:w="853"/>
        <w:gridCol w:w="854"/>
        <w:gridCol w:w="1276"/>
        <w:gridCol w:w="1417"/>
      </w:tblGrid>
      <w:tr w:rsidR="00FB529E" w:rsidRPr="00C044DC" w:rsidTr="00806C87">
        <w:trPr>
          <w:trHeight w:val="613"/>
        </w:trPr>
        <w:tc>
          <w:tcPr>
            <w:tcW w:w="1567" w:type="dxa"/>
            <w:shd w:val="clear" w:color="auto" w:fill="auto"/>
            <w:vAlign w:val="center"/>
          </w:tcPr>
          <w:p w:rsidR="00FB529E" w:rsidRPr="00C044DC" w:rsidRDefault="00FB529E" w:rsidP="00806C87">
            <w:pPr>
              <w:tabs>
                <w:tab w:val="left" w:pos="960"/>
              </w:tabs>
              <w:rPr>
                <w:rFonts w:ascii="Cambria" w:hAnsi="Cambria"/>
                <w:sz w:val="18"/>
                <w:szCs w:val="18"/>
              </w:rPr>
            </w:pPr>
          </w:p>
        </w:tc>
        <w:tc>
          <w:tcPr>
            <w:tcW w:w="992" w:type="dxa"/>
            <w:shd w:val="clear" w:color="auto" w:fill="auto"/>
            <w:vAlign w:val="center"/>
          </w:tcPr>
          <w:p w:rsidR="00FB529E" w:rsidRPr="00C044DC" w:rsidRDefault="00FB529E" w:rsidP="00806C87">
            <w:pPr>
              <w:tabs>
                <w:tab w:val="left" w:pos="960"/>
              </w:tabs>
              <w:jc w:val="right"/>
              <w:rPr>
                <w:rFonts w:ascii="Cambria" w:hAnsi="Cambria"/>
                <w:b/>
                <w:sz w:val="18"/>
                <w:szCs w:val="18"/>
              </w:rPr>
            </w:pPr>
            <w:r w:rsidRPr="00C044DC">
              <w:rPr>
                <w:rFonts w:ascii="Cambria" w:hAnsi="Cambria"/>
                <w:b/>
                <w:sz w:val="18"/>
                <w:szCs w:val="18"/>
              </w:rPr>
              <w:t>2007</w:t>
            </w:r>
          </w:p>
        </w:tc>
        <w:tc>
          <w:tcPr>
            <w:tcW w:w="851" w:type="dxa"/>
            <w:shd w:val="clear" w:color="auto" w:fill="auto"/>
            <w:vAlign w:val="center"/>
          </w:tcPr>
          <w:p w:rsidR="00FB529E" w:rsidRPr="00C044DC" w:rsidRDefault="00FB529E" w:rsidP="00806C87">
            <w:pPr>
              <w:tabs>
                <w:tab w:val="left" w:pos="960"/>
              </w:tabs>
              <w:jc w:val="right"/>
              <w:rPr>
                <w:rFonts w:ascii="Cambria" w:hAnsi="Cambria"/>
                <w:b/>
                <w:sz w:val="18"/>
                <w:szCs w:val="18"/>
              </w:rPr>
            </w:pPr>
            <w:r w:rsidRPr="00C044DC">
              <w:rPr>
                <w:rFonts w:ascii="Cambria" w:hAnsi="Cambria"/>
                <w:b/>
                <w:sz w:val="18"/>
                <w:szCs w:val="18"/>
              </w:rPr>
              <w:t>2008</w:t>
            </w:r>
          </w:p>
        </w:tc>
        <w:tc>
          <w:tcPr>
            <w:tcW w:w="981" w:type="dxa"/>
            <w:shd w:val="clear" w:color="auto" w:fill="auto"/>
            <w:vAlign w:val="center"/>
          </w:tcPr>
          <w:p w:rsidR="00FB529E" w:rsidRPr="00C044DC" w:rsidRDefault="00FB529E" w:rsidP="00806C87">
            <w:pPr>
              <w:tabs>
                <w:tab w:val="left" w:pos="960"/>
              </w:tabs>
              <w:jc w:val="right"/>
              <w:rPr>
                <w:rFonts w:ascii="Cambria" w:hAnsi="Cambria"/>
                <w:b/>
                <w:sz w:val="18"/>
                <w:szCs w:val="18"/>
              </w:rPr>
            </w:pPr>
            <w:r w:rsidRPr="00C044DC">
              <w:rPr>
                <w:rFonts w:ascii="Cambria" w:hAnsi="Cambria"/>
                <w:b/>
                <w:sz w:val="18"/>
                <w:szCs w:val="18"/>
              </w:rPr>
              <w:t>2009</w:t>
            </w:r>
          </w:p>
        </w:tc>
        <w:tc>
          <w:tcPr>
            <w:tcW w:w="853" w:type="dxa"/>
            <w:shd w:val="clear" w:color="auto" w:fill="auto"/>
            <w:vAlign w:val="center"/>
          </w:tcPr>
          <w:p w:rsidR="00FB529E" w:rsidRPr="00C044DC" w:rsidRDefault="00FB529E" w:rsidP="00806C87">
            <w:pPr>
              <w:tabs>
                <w:tab w:val="left" w:pos="960"/>
              </w:tabs>
              <w:jc w:val="right"/>
              <w:rPr>
                <w:rFonts w:ascii="Cambria" w:hAnsi="Cambria"/>
                <w:b/>
                <w:sz w:val="18"/>
                <w:szCs w:val="18"/>
              </w:rPr>
            </w:pPr>
            <w:r w:rsidRPr="00C044DC">
              <w:rPr>
                <w:rFonts w:ascii="Cambria" w:hAnsi="Cambria"/>
                <w:b/>
                <w:sz w:val="18"/>
                <w:szCs w:val="18"/>
              </w:rPr>
              <w:t>2010</w:t>
            </w:r>
          </w:p>
        </w:tc>
        <w:tc>
          <w:tcPr>
            <w:tcW w:w="853" w:type="dxa"/>
            <w:shd w:val="clear" w:color="auto" w:fill="auto"/>
            <w:vAlign w:val="center"/>
          </w:tcPr>
          <w:p w:rsidR="00FB529E" w:rsidRPr="00C044DC" w:rsidRDefault="00FB529E" w:rsidP="00806C87">
            <w:pPr>
              <w:tabs>
                <w:tab w:val="left" w:pos="960"/>
              </w:tabs>
              <w:jc w:val="right"/>
              <w:rPr>
                <w:rFonts w:ascii="Cambria" w:hAnsi="Cambria"/>
                <w:b/>
                <w:sz w:val="18"/>
                <w:szCs w:val="18"/>
              </w:rPr>
            </w:pPr>
            <w:r w:rsidRPr="00C044DC">
              <w:rPr>
                <w:rFonts w:ascii="Cambria" w:hAnsi="Cambria"/>
                <w:b/>
                <w:sz w:val="18"/>
                <w:szCs w:val="18"/>
              </w:rPr>
              <w:t>2011</w:t>
            </w:r>
          </w:p>
        </w:tc>
        <w:tc>
          <w:tcPr>
            <w:tcW w:w="853" w:type="dxa"/>
            <w:tcBorders>
              <w:bottom w:val="single" w:sz="4" w:space="0" w:color="auto"/>
            </w:tcBorders>
            <w:shd w:val="clear" w:color="auto" w:fill="auto"/>
            <w:vAlign w:val="center"/>
          </w:tcPr>
          <w:p w:rsidR="00FB529E" w:rsidRPr="00C044DC" w:rsidRDefault="00FB529E" w:rsidP="00806C87">
            <w:pPr>
              <w:tabs>
                <w:tab w:val="left" w:pos="960"/>
              </w:tabs>
              <w:jc w:val="right"/>
              <w:rPr>
                <w:rFonts w:ascii="Cambria" w:hAnsi="Cambria"/>
                <w:b/>
                <w:sz w:val="18"/>
                <w:szCs w:val="18"/>
              </w:rPr>
            </w:pPr>
            <w:r w:rsidRPr="00C044DC">
              <w:rPr>
                <w:rFonts w:ascii="Cambria" w:hAnsi="Cambria"/>
                <w:b/>
                <w:sz w:val="18"/>
                <w:szCs w:val="18"/>
              </w:rPr>
              <w:t>2012</w:t>
            </w:r>
          </w:p>
        </w:tc>
        <w:tc>
          <w:tcPr>
            <w:tcW w:w="854" w:type="dxa"/>
            <w:tcBorders>
              <w:right w:val="single" w:sz="18" w:space="0" w:color="17365D"/>
            </w:tcBorders>
            <w:vAlign w:val="center"/>
          </w:tcPr>
          <w:p w:rsidR="00FB529E" w:rsidRPr="00C044DC" w:rsidRDefault="00FB529E" w:rsidP="00806C87">
            <w:pPr>
              <w:tabs>
                <w:tab w:val="left" w:pos="960"/>
              </w:tabs>
              <w:jc w:val="right"/>
              <w:rPr>
                <w:rFonts w:ascii="Cambria" w:hAnsi="Cambria"/>
                <w:b/>
                <w:sz w:val="18"/>
                <w:szCs w:val="18"/>
              </w:rPr>
            </w:pPr>
            <w:r w:rsidRPr="00C044DC">
              <w:rPr>
                <w:rFonts w:ascii="Cambria" w:hAnsi="Cambria"/>
                <w:b/>
                <w:sz w:val="18"/>
                <w:szCs w:val="18"/>
              </w:rPr>
              <w:t>2013</w:t>
            </w:r>
          </w:p>
        </w:tc>
        <w:tc>
          <w:tcPr>
            <w:tcW w:w="1276" w:type="dxa"/>
            <w:tcBorders>
              <w:right w:val="single" w:sz="18" w:space="0" w:color="17365D"/>
            </w:tcBorders>
            <w:vAlign w:val="center"/>
          </w:tcPr>
          <w:p w:rsidR="00FB529E" w:rsidRPr="00C044DC" w:rsidRDefault="00FB529E" w:rsidP="00806C87">
            <w:pPr>
              <w:tabs>
                <w:tab w:val="left" w:pos="960"/>
              </w:tabs>
              <w:jc w:val="right"/>
              <w:rPr>
                <w:rFonts w:ascii="Cambria" w:hAnsi="Cambria"/>
                <w:b/>
                <w:sz w:val="18"/>
                <w:szCs w:val="18"/>
              </w:rPr>
            </w:pPr>
            <w:r>
              <w:rPr>
                <w:rFonts w:ascii="Cambria" w:hAnsi="Cambria"/>
                <w:b/>
                <w:sz w:val="18"/>
                <w:szCs w:val="18"/>
              </w:rPr>
              <w:t>2014(YTD)</w:t>
            </w:r>
          </w:p>
        </w:tc>
        <w:tc>
          <w:tcPr>
            <w:tcW w:w="1417" w:type="dxa"/>
            <w:tcBorders>
              <w:left w:val="single" w:sz="18" w:space="0" w:color="17365D"/>
              <w:right w:val="single" w:sz="18" w:space="0" w:color="17365D"/>
            </w:tcBorders>
            <w:shd w:val="clear" w:color="auto" w:fill="auto"/>
            <w:vAlign w:val="center"/>
          </w:tcPr>
          <w:p w:rsidR="00FB529E" w:rsidRPr="00C044DC" w:rsidRDefault="00FB529E" w:rsidP="00806C87">
            <w:pPr>
              <w:tabs>
                <w:tab w:val="left" w:pos="960"/>
              </w:tabs>
              <w:jc w:val="center"/>
              <w:rPr>
                <w:rFonts w:ascii="Cambria" w:hAnsi="Cambria"/>
                <w:b/>
                <w:sz w:val="18"/>
                <w:szCs w:val="18"/>
              </w:rPr>
            </w:pPr>
            <w:r w:rsidRPr="00C044DC">
              <w:rPr>
                <w:rFonts w:ascii="Cambria" w:hAnsi="Cambria"/>
                <w:b/>
                <w:sz w:val="18"/>
                <w:szCs w:val="18"/>
              </w:rPr>
              <w:t>% Change</w:t>
            </w:r>
          </w:p>
          <w:p w:rsidR="00FB529E" w:rsidRDefault="00FB529E" w:rsidP="00806C87">
            <w:pPr>
              <w:tabs>
                <w:tab w:val="left" w:pos="960"/>
              </w:tabs>
              <w:jc w:val="center"/>
              <w:rPr>
                <w:rFonts w:ascii="Cambria" w:hAnsi="Cambria"/>
                <w:b/>
                <w:sz w:val="18"/>
                <w:szCs w:val="18"/>
              </w:rPr>
            </w:pPr>
            <w:r w:rsidRPr="00C044DC">
              <w:rPr>
                <w:rFonts w:ascii="Cambria" w:hAnsi="Cambria"/>
                <w:b/>
                <w:sz w:val="18"/>
                <w:szCs w:val="18"/>
              </w:rPr>
              <w:t>2007/</w:t>
            </w:r>
          </w:p>
          <w:p w:rsidR="00FB529E" w:rsidRPr="00C044DC" w:rsidRDefault="00FB529E" w:rsidP="00806C87">
            <w:pPr>
              <w:tabs>
                <w:tab w:val="left" w:pos="960"/>
              </w:tabs>
              <w:jc w:val="center"/>
              <w:rPr>
                <w:rFonts w:ascii="Cambria" w:hAnsi="Cambria"/>
                <w:b/>
                <w:sz w:val="18"/>
                <w:szCs w:val="18"/>
              </w:rPr>
            </w:pPr>
            <w:r>
              <w:rPr>
                <w:rFonts w:ascii="Cambria" w:hAnsi="Cambria"/>
                <w:b/>
                <w:sz w:val="18"/>
                <w:szCs w:val="18"/>
              </w:rPr>
              <w:t>2013</w:t>
            </w:r>
          </w:p>
        </w:tc>
      </w:tr>
      <w:tr w:rsidR="00FB529E" w:rsidRPr="00C044DC" w:rsidTr="00806C87">
        <w:trPr>
          <w:trHeight w:val="419"/>
        </w:trPr>
        <w:tc>
          <w:tcPr>
            <w:tcW w:w="1567" w:type="dxa"/>
            <w:shd w:val="clear" w:color="auto" w:fill="auto"/>
            <w:vAlign w:val="center"/>
          </w:tcPr>
          <w:p w:rsidR="00FB529E" w:rsidRPr="00C044DC" w:rsidRDefault="00FB529E" w:rsidP="00806C87">
            <w:pPr>
              <w:tabs>
                <w:tab w:val="left" w:pos="960"/>
              </w:tabs>
              <w:rPr>
                <w:rFonts w:ascii="Cambria" w:hAnsi="Cambria"/>
                <w:sz w:val="18"/>
                <w:szCs w:val="18"/>
              </w:rPr>
            </w:pPr>
            <w:r w:rsidRPr="00C044DC">
              <w:rPr>
                <w:rFonts w:ascii="Cambria" w:hAnsi="Cambria"/>
                <w:sz w:val="18"/>
                <w:szCs w:val="18"/>
              </w:rPr>
              <w:t>% Outturn / Tgt</w:t>
            </w:r>
          </w:p>
          <w:p w:rsidR="00FB529E" w:rsidRPr="00C044DC" w:rsidRDefault="00FB529E" w:rsidP="00806C87">
            <w:pPr>
              <w:tabs>
                <w:tab w:val="left" w:pos="960"/>
              </w:tabs>
              <w:rPr>
                <w:rFonts w:ascii="Cambria" w:hAnsi="Cambria"/>
                <w:b/>
                <w:sz w:val="18"/>
                <w:szCs w:val="18"/>
              </w:rPr>
            </w:pPr>
            <w:r w:rsidRPr="00C044DC">
              <w:rPr>
                <w:rFonts w:ascii="Cambria" w:hAnsi="Cambria"/>
                <w:b/>
                <w:sz w:val="18"/>
                <w:szCs w:val="18"/>
              </w:rPr>
              <w:t>Inpatient Discharges</w:t>
            </w:r>
          </w:p>
        </w:tc>
        <w:tc>
          <w:tcPr>
            <w:tcW w:w="992" w:type="dxa"/>
            <w:shd w:val="clear" w:color="auto" w:fill="auto"/>
            <w:vAlign w:val="center"/>
          </w:tcPr>
          <w:p w:rsidR="00FB529E" w:rsidRPr="00C044DC" w:rsidRDefault="00FB529E" w:rsidP="00806C87">
            <w:pPr>
              <w:tabs>
                <w:tab w:val="left" w:pos="960"/>
              </w:tabs>
              <w:jc w:val="right"/>
              <w:rPr>
                <w:rFonts w:ascii="Cambria" w:hAnsi="Cambria"/>
                <w:i/>
                <w:sz w:val="18"/>
                <w:szCs w:val="18"/>
              </w:rPr>
            </w:pPr>
            <w:r w:rsidRPr="00C044DC">
              <w:rPr>
                <w:rFonts w:ascii="Cambria" w:hAnsi="Cambria"/>
                <w:i/>
                <w:sz w:val="18"/>
                <w:szCs w:val="18"/>
              </w:rPr>
              <w:t>+2.5%</w:t>
            </w:r>
          </w:p>
        </w:tc>
        <w:tc>
          <w:tcPr>
            <w:tcW w:w="851" w:type="dxa"/>
            <w:shd w:val="clear" w:color="auto" w:fill="auto"/>
            <w:vAlign w:val="center"/>
          </w:tcPr>
          <w:p w:rsidR="00FB529E" w:rsidRPr="00C044DC" w:rsidRDefault="00FB529E" w:rsidP="00806C87">
            <w:pPr>
              <w:tabs>
                <w:tab w:val="left" w:pos="960"/>
              </w:tabs>
              <w:jc w:val="right"/>
              <w:rPr>
                <w:rFonts w:ascii="Cambria" w:hAnsi="Cambria"/>
                <w:i/>
                <w:sz w:val="18"/>
                <w:szCs w:val="18"/>
              </w:rPr>
            </w:pPr>
            <w:r w:rsidRPr="00C044DC">
              <w:rPr>
                <w:rFonts w:ascii="Cambria" w:hAnsi="Cambria"/>
                <w:i/>
                <w:sz w:val="18"/>
                <w:szCs w:val="18"/>
              </w:rPr>
              <w:t>+1.8%</w:t>
            </w:r>
          </w:p>
        </w:tc>
        <w:tc>
          <w:tcPr>
            <w:tcW w:w="981" w:type="dxa"/>
            <w:shd w:val="clear" w:color="auto" w:fill="auto"/>
            <w:vAlign w:val="center"/>
          </w:tcPr>
          <w:p w:rsidR="00FB529E" w:rsidRPr="00C044DC" w:rsidRDefault="00FB529E" w:rsidP="00806C87">
            <w:pPr>
              <w:tabs>
                <w:tab w:val="left" w:pos="960"/>
              </w:tabs>
              <w:jc w:val="right"/>
              <w:rPr>
                <w:rFonts w:ascii="Cambria" w:hAnsi="Cambria"/>
                <w:i/>
                <w:sz w:val="18"/>
                <w:szCs w:val="18"/>
              </w:rPr>
            </w:pPr>
            <w:r w:rsidRPr="00C044DC">
              <w:rPr>
                <w:rFonts w:ascii="Cambria" w:hAnsi="Cambria"/>
                <w:i/>
                <w:sz w:val="18"/>
                <w:szCs w:val="18"/>
              </w:rPr>
              <w:t>+3.7%</w:t>
            </w:r>
          </w:p>
        </w:tc>
        <w:tc>
          <w:tcPr>
            <w:tcW w:w="853" w:type="dxa"/>
            <w:shd w:val="clear" w:color="auto" w:fill="auto"/>
            <w:vAlign w:val="center"/>
          </w:tcPr>
          <w:p w:rsidR="00FB529E" w:rsidRPr="00C044DC" w:rsidRDefault="00FB529E" w:rsidP="00806C87">
            <w:pPr>
              <w:tabs>
                <w:tab w:val="left" w:pos="960"/>
              </w:tabs>
              <w:jc w:val="right"/>
              <w:rPr>
                <w:rFonts w:ascii="Cambria" w:hAnsi="Cambria"/>
                <w:i/>
                <w:sz w:val="18"/>
                <w:szCs w:val="18"/>
              </w:rPr>
            </w:pPr>
            <w:r w:rsidRPr="00C044DC">
              <w:rPr>
                <w:rFonts w:ascii="Cambria" w:hAnsi="Cambria"/>
                <w:i/>
                <w:sz w:val="18"/>
                <w:szCs w:val="18"/>
              </w:rPr>
              <w:t>+8.8%</w:t>
            </w:r>
          </w:p>
        </w:tc>
        <w:tc>
          <w:tcPr>
            <w:tcW w:w="853" w:type="dxa"/>
            <w:shd w:val="clear" w:color="auto" w:fill="auto"/>
            <w:vAlign w:val="center"/>
          </w:tcPr>
          <w:p w:rsidR="00FB529E" w:rsidRPr="00C044DC" w:rsidRDefault="00FB529E" w:rsidP="00806C87">
            <w:pPr>
              <w:tabs>
                <w:tab w:val="left" w:pos="960"/>
              </w:tabs>
              <w:jc w:val="right"/>
              <w:rPr>
                <w:rFonts w:ascii="Cambria" w:hAnsi="Cambria"/>
                <w:i/>
                <w:sz w:val="18"/>
                <w:szCs w:val="18"/>
              </w:rPr>
            </w:pPr>
            <w:r w:rsidRPr="00C044DC">
              <w:rPr>
                <w:rFonts w:ascii="Cambria" w:hAnsi="Cambria"/>
                <w:i/>
                <w:sz w:val="18"/>
                <w:szCs w:val="18"/>
              </w:rPr>
              <w:t>+2.5%</w:t>
            </w:r>
          </w:p>
        </w:tc>
        <w:tc>
          <w:tcPr>
            <w:tcW w:w="853" w:type="dxa"/>
            <w:shd w:val="clear" w:color="auto" w:fill="auto"/>
            <w:vAlign w:val="center"/>
          </w:tcPr>
          <w:p w:rsidR="00FB529E" w:rsidRPr="00924ABB" w:rsidRDefault="00FB529E" w:rsidP="00806C87">
            <w:pPr>
              <w:tabs>
                <w:tab w:val="left" w:pos="960"/>
              </w:tabs>
              <w:jc w:val="right"/>
              <w:rPr>
                <w:rFonts w:ascii="Cambria" w:hAnsi="Cambria"/>
                <w:i/>
                <w:sz w:val="18"/>
                <w:szCs w:val="18"/>
              </w:rPr>
            </w:pPr>
            <w:r w:rsidRPr="00924ABB">
              <w:rPr>
                <w:rFonts w:ascii="Cambria" w:hAnsi="Cambria"/>
                <w:i/>
                <w:sz w:val="18"/>
                <w:szCs w:val="18"/>
              </w:rPr>
              <w:t>+7.4%</w:t>
            </w:r>
          </w:p>
        </w:tc>
        <w:tc>
          <w:tcPr>
            <w:tcW w:w="854" w:type="dxa"/>
            <w:tcBorders>
              <w:right w:val="single" w:sz="18" w:space="0" w:color="17365D"/>
            </w:tcBorders>
            <w:vAlign w:val="center"/>
          </w:tcPr>
          <w:p w:rsidR="00FB529E" w:rsidRPr="00924ABB" w:rsidRDefault="00FB529E" w:rsidP="00806C87">
            <w:pPr>
              <w:tabs>
                <w:tab w:val="left" w:pos="960"/>
              </w:tabs>
              <w:jc w:val="right"/>
              <w:rPr>
                <w:rFonts w:ascii="Cambria" w:hAnsi="Cambria"/>
                <w:i/>
                <w:sz w:val="18"/>
                <w:szCs w:val="18"/>
              </w:rPr>
            </w:pPr>
            <w:r w:rsidRPr="00924ABB">
              <w:rPr>
                <w:rFonts w:ascii="Cambria" w:hAnsi="Cambria"/>
                <w:i/>
                <w:sz w:val="18"/>
                <w:szCs w:val="18"/>
              </w:rPr>
              <w:t>+0.97%</w:t>
            </w:r>
          </w:p>
        </w:tc>
        <w:tc>
          <w:tcPr>
            <w:tcW w:w="1276" w:type="dxa"/>
            <w:tcBorders>
              <w:right w:val="single" w:sz="18" w:space="0" w:color="17365D"/>
            </w:tcBorders>
            <w:vAlign w:val="center"/>
          </w:tcPr>
          <w:p w:rsidR="00FB529E" w:rsidRPr="00572B2F" w:rsidRDefault="00FB529E" w:rsidP="00806C87">
            <w:pPr>
              <w:tabs>
                <w:tab w:val="left" w:pos="960"/>
              </w:tabs>
              <w:jc w:val="right"/>
              <w:rPr>
                <w:rFonts w:ascii="Cambria" w:hAnsi="Cambria"/>
                <w:i/>
                <w:sz w:val="18"/>
                <w:szCs w:val="18"/>
              </w:rPr>
            </w:pPr>
            <w:r>
              <w:rPr>
                <w:rFonts w:ascii="Cambria" w:hAnsi="Cambria"/>
                <w:i/>
                <w:sz w:val="18"/>
                <w:szCs w:val="18"/>
              </w:rPr>
              <w:t>+.02</w:t>
            </w:r>
            <w:r w:rsidRPr="00572B2F">
              <w:rPr>
                <w:rFonts w:ascii="Cambria" w:hAnsi="Cambria"/>
                <w:i/>
                <w:sz w:val="18"/>
                <w:szCs w:val="18"/>
              </w:rPr>
              <w:t>%</w:t>
            </w:r>
          </w:p>
        </w:tc>
        <w:tc>
          <w:tcPr>
            <w:tcW w:w="1417" w:type="dxa"/>
            <w:tcBorders>
              <w:left w:val="single" w:sz="18" w:space="0" w:color="17365D"/>
              <w:right w:val="single" w:sz="18" w:space="0" w:color="17365D"/>
            </w:tcBorders>
            <w:shd w:val="clear" w:color="auto" w:fill="auto"/>
            <w:vAlign w:val="center"/>
          </w:tcPr>
          <w:p w:rsidR="00FB529E" w:rsidRPr="00C044DC" w:rsidRDefault="00FB529E" w:rsidP="00806C87">
            <w:pPr>
              <w:tabs>
                <w:tab w:val="left" w:pos="960"/>
              </w:tabs>
              <w:jc w:val="center"/>
              <w:rPr>
                <w:rFonts w:ascii="Cambria" w:hAnsi="Cambria"/>
                <w:sz w:val="18"/>
                <w:szCs w:val="18"/>
              </w:rPr>
            </w:pPr>
          </w:p>
        </w:tc>
      </w:tr>
      <w:tr w:rsidR="00FB529E" w:rsidRPr="00C044DC" w:rsidTr="00806C87">
        <w:trPr>
          <w:trHeight w:val="419"/>
        </w:trPr>
        <w:tc>
          <w:tcPr>
            <w:tcW w:w="1567" w:type="dxa"/>
            <w:shd w:val="clear" w:color="auto" w:fill="auto"/>
            <w:vAlign w:val="center"/>
          </w:tcPr>
          <w:p w:rsidR="00FB529E" w:rsidRPr="00C044DC" w:rsidRDefault="00FB529E" w:rsidP="00806C87">
            <w:pPr>
              <w:tabs>
                <w:tab w:val="left" w:pos="960"/>
              </w:tabs>
              <w:rPr>
                <w:rFonts w:ascii="Cambria" w:hAnsi="Cambria"/>
                <w:sz w:val="18"/>
                <w:szCs w:val="18"/>
              </w:rPr>
            </w:pPr>
            <w:r w:rsidRPr="00C044DC">
              <w:rPr>
                <w:rFonts w:ascii="Cambria" w:hAnsi="Cambria"/>
                <w:sz w:val="18"/>
                <w:szCs w:val="18"/>
              </w:rPr>
              <w:lastRenderedPageBreak/>
              <w:t>Outturn</w:t>
            </w:r>
          </w:p>
        </w:tc>
        <w:tc>
          <w:tcPr>
            <w:tcW w:w="992" w:type="dxa"/>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614,196</w:t>
            </w:r>
          </w:p>
        </w:tc>
        <w:tc>
          <w:tcPr>
            <w:tcW w:w="851" w:type="dxa"/>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604,320</w:t>
            </w:r>
          </w:p>
        </w:tc>
        <w:tc>
          <w:tcPr>
            <w:tcW w:w="981" w:type="dxa"/>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595,022</w:t>
            </w:r>
          </w:p>
        </w:tc>
        <w:tc>
          <w:tcPr>
            <w:tcW w:w="853" w:type="dxa"/>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588,860</w:t>
            </w:r>
          </w:p>
        </w:tc>
        <w:tc>
          <w:tcPr>
            <w:tcW w:w="853" w:type="dxa"/>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588,623</w:t>
            </w:r>
          </w:p>
        </w:tc>
        <w:tc>
          <w:tcPr>
            <w:tcW w:w="853" w:type="dxa"/>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603,911</w:t>
            </w:r>
          </w:p>
        </w:tc>
        <w:tc>
          <w:tcPr>
            <w:tcW w:w="854" w:type="dxa"/>
            <w:tcBorders>
              <w:right w:val="single" w:sz="18" w:space="0" w:color="17365D"/>
            </w:tcBorders>
            <w:vAlign w:val="center"/>
          </w:tcPr>
          <w:p w:rsidR="00FB529E" w:rsidRPr="00C044DC" w:rsidRDefault="00FB529E" w:rsidP="00806C87">
            <w:pPr>
              <w:tabs>
                <w:tab w:val="left" w:pos="960"/>
              </w:tabs>
              <w:jc w:val="right"/>
              <w:rPr>
                <w:rFonts w:ascii="Cambria" w:hAnsi="Cambria"/>
                <w:sz w:val="18"/>
                <w:szCs w:val="18"/>
              </w:rPr>
            </w:pPr>
            <w:r>
              <w:rPr>
                <w:rFonts w:ascii="Cambria" w:hAnsi="Cambria"/>
                <w:sz w:val="18"/>
                <w:szCs w:val="18"/>
              </w:rPr>
              <w:t>595,109</w:t>
            </w:r>
          </w:p>
        </w:tc>
        <w:tc>
          <w:tcPr>
            <w:tcW w:w="1276" w:type="dxa"/>
            <w:tcBorders>
              <w:right w:val="single" w:sz="18" w:space="0" w:color="17365D"/>
            </w:tcBorders>
            <w:vAlign w:val="center"/>
          </w:tcPr>
          <w:p w:rsidR="00FB529E" w:rsidRDefault="00FB529E" w:rsidP="00806C87">
            <w:pPr>
              <w:tabs>
                <w:tab w:val="left" w:pos="960"/>
              </w:tabs>
              <w:jc w:val="right"/>
              <w:rPr>
                <w:rFonts w:ascii="Cambria" w:hAnsi="Cambria"/>
                <w:sz w:val="18"/>
                <w:szCs w:val="18"/>
              </w:rPr>
            </w:pPr>
            <w:r>
              <w:rPr>
                <w:rFonts w:ascii="Cambria" w:hAnsi="Cambria"/>
                <w:sz w:val="18"/>
                <w:szCs w:val="18"/>
              </w:rPr>
              <w:t>248,649</w:t>
            </w:r>
          </w:p>
        </w:tc>
        <w:tc>
          <w:tcPr>
            <w:tcW w:w="1417" w:type="dxa"/>
            <w:tcBorders>
              <w:left w:val="single" w:sz="18" w:space="0" w:color="17365D"/>
              <w:right w:val="single" w:sz="18" w:space="0" w:color="17365D"/>
            </w:tcBorders>
            <w:shd w:val="clear" w:color="auto" w:fill="auto"/>
            <w:vAlign w:val="center"/>
          </w:tcPr>
          <w:p w:rsidR="00FB529E" w:rsidRDefault="00FB529E" w:rsidP="00806C87">
            <w:pPr>
              <w:tabs>
                <w:tab w:val="left" w:pos="960"/>
              </w:tabs>
              <w:jc w:val="center"/>
              <w:rPr>
                <w:rFonts w:ascii="Cambria" w:hAnsi="Cambria"/>
                <w:sz w:val="18"/>
                <w:szCs w:val="18"/>
              </w:rPr>
            </w:pPr>
            <w:r>
              <w:rPr>
                <w:rFonts w:ascii="Cambria" w:hAnsi="Cambria"/>
                <w:sz w:val="18"/>
                <w:szCs w:val="18"/>
              </w:rPr>
              <w:t>-3.1%</w:t>
            </w:r>
          </w:p>
          <w:p w:rsidR="00FB529E" w:rsidRPr="00C044DC" w:rsidRDefault="00FB529E" w:rsidP="00806C87">
            <w:pPr>
              <w:tabs>
                <w:tab w:val="left" w:pos="960"/>
              </w:tabs>
              <w:jc w:val="center"/>
              <w:rPr>
                <w:rFonts w:ascii="Cambria" w:hAnsi="Cambria"/>
                <w:sz w:val="18"/>
                <w:szCs w:val="18"/>
              </w:rPr>
            </w:pPr>
            <w:r>
              <w:rPr>
                <w:rFonts w:ascii="Cambria" w:hAnsi="Cambria"/>
                <w:sz w:val="18"/>
                <w:szCs w:val="18"/>
              </w:rPr>
              <w:t>(19,087)</w:t>
            </w:r>
          </w:p>
        </w:tc>
      </w:tr>
      <w:tr w:rsidR="00FB529E" w:rsidRPr="00C044DC" w:rsidTr="00806C87">
        <w:trPr>
          <w:trHeight w:val="456"/>
        </w:trPr>
        <w:tc>
          <w:tcPr>
            <w:tcW w:w="1567" w:type="dxa"/>
            <w:tcBorders>
              <w:bottom w:val="single" w:sz="18" w:space="0" w:color="17365D"/>
            </w:tcBorders>
            <w:shd w:val="clear" w:color="auto" w:fill="auto"/>
            <w:vAlign w:val="center"/>
          </w:tcPr>
          <w:p w:rsidR="00FB529E" w:rsidRPr="00C044DC" w:rsidRDefault="00FB529E" w:rsidP="00806C87">
            <w:pPr>
              <w:tabs>
                <w:tab w:val="left" w:pos="960"/>
              </w:tabs>
              <w:rPr>
                <w:rFonts w:ascii="Cambria" w:hAnsi="Cambria"/>
                <w:sz w:val="18"/>
                <w:szCs w:val="18"/>
              </w:rPr>
            </w:pPr>
            <w:r w:rsidRPr="00C044DC">
              <w:rPr>
                <w:rFonts w:ascii="Cambria" w:hAnsi="Cambria"/>
                <w:sz w:val="18"/>
                <w:szCs w:val="18"/>
              </w:rPr>
              <w:t>Target</w:t>
            </w:r>
          </w:p>
        </w:tc>
        <w:tc>
          <w:tcPr>
            <w:tcW w:w="992" w:type="dxa"/>
            <w:tcBorders>
              <w:bottom w:val="single" w:sz="18" w:space="0" w:color="17365D"/>
            </w:tcBorders>
            <w:shd w:val="clear" w:color="auto" w:fill="auto"/>
            <w:vAlign w:val="center"/>
          </w:tcPr>
          <w:p w:rsidR="00FB529E" w:rsidRPr="00C044DC" w:rsidRDefault="00FB529E" w:rsidP="00806C87">
            <w:pPr>
              <w:tabs>
                <w:tab w:val="left" w:pos="960"/>
              </w:tabs>
              <w:jc w:val="right"/>
              <w:rPr>
                <w:rFonts w:ascii="Cambria" w:hAnsi="Cambria"/>
                <w:sz w:val="18"/>
                <w:szCs w:val="18"/>
              </w:rPr>
            </w:pPr>
          </w:p>
        </w:tc>
        <w:tc>
          <w:tcPr>
            <w:tcW w:w="851" w:type="dxa"/>
            <w:tcBorders>
              <w:bottom w:val="single" w:sz="18" w:space="0" w:color="17365D"/>
            </w:tcBorders>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593,859</w:t>
            </w:r>
          </w:p>
        </w:tc>
        <w:tc>
          <w:tcPr>
            <w:tcW w:w="981" w:type="dxa"/>
            <w:tcBorders>
              <w:bottom w:val="single" w:sz="18" w:space="0" w:color="17365D"/>
            </w:tcBorders>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573,360</w:t>
            </w:r>
          </w:p>
        </w:tc>
        <w:tc>
          <w:tcPr>
            <w:tcW w:w="853" w:type="dxa"/>
            <w:tcBorders>
              <w:bottom w:val="single" w:sz="18" w:space="0" w:color="17365D"/>
            </w:tcBorders>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540,993</w:t>
            </w:r>
          </w:p>
        </w:tc>
        <w:tc>
          <w:tcPr>
            <w:tcW w:w="853" w:type="dxa"/>
            <w:tcBorders>
              <w:bottom w:val="single" w:sz="18" w:space="0" w:color="17365D"/>
            </w:tcBorders>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574,400</w:t>
            </w:r>
          </w:p>
        </w:tc>
        <w:tc>
          <w:tcPr>
            <w:tcW w:w="853" w:type="dxa"/>
            <w:tcBorders>
              <w:bottom w:val="single" w:sz="18" w:space="0" w:color="17365D"/>
            </w:tcBorders>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562,133</w:t>
            </w:r>
          </w:p>
        </w:tc>
        <w:tc>
          <w:tcPr>
            <w:tcW w:w="854" w:type="dxa"/>
            <w:tcBorders>
              <w:bottom w:val="single" w:sz="18" w:space="0" w:color="17365D"/>
              <w:right w:val="single" w:sz="18" w:space="0" w:color="17365D"/>
            </w:tcBorders>
            <w:shd w:val="clear" w:color="auto" w:fill="auto"/>
            <w:vAlign w:val="center"/>
          </w:tcPr>
          <w:p w:rsidR="00FB529E" w:rsidRPr="00C044DC" w:rsidRDefault="00FB529E" w:rsidP="00806C87">
            <w:pPr>
              <w:tabs>
                <w:tab w:val="left" w:pos="960"/>
              </w:tabs>
              <w:jc w:val="right"/>
              <w:rPr>
                <w:rFonts w:ascii="Cambria" w:hAnsi="Cambria"/>
                <w:sz w:val="18"/>
                <w:szCs w:val="18"/>
              </w:rPr>
            </w:pPr>
            <w:r>
              <w:rPr>
                <w:rFonts w:ascii="Cambria" w:hAnsi="Cambria"/>
                <w:sz w:val="18"/>
                <w:szCs w:val="18"/>
              </w:rPr>
              <w:t>600,887</w:t>
            </w:r>
          </w:p>
        </w:tc>
        <w:tc>
          <w:tcPr>
            <w:tcW w:w="1276" w:type="dxa"/>
            <w:tcBorders>
              <w:bottom w:val="single" w:sz="18" w:space="0" w:color="17365D"/>
              <w:right w:val="single" w:sz="18" w:space="0" w:color="17365D"/>
            </w:tcBorders>
            <w:vAlign w:val="center"/>
          </w:tcPr>
          <w:p w:rsidR="00FB529E" w:rsidRPr="00C044DC" w:rsidRDefault="00FB529E" w:rsidP="00806C87">
            <w:pPr>
              <w:tabs>
                <w:tab w:val="left" w:pos="960"/>
              </w:tabs>
              <w:jc w:val="right"/>
              <w:rPr>
                <w:rFonts w:ascii="Cambria" w:hAnsi="Cambria"/>
                <w:sz w:val="18"/>
                <w:szCs w:val="18"/>
              </w:rPr>
            </w:pPr>
            <w:r>
              <w:rPr>
                <w:rFonts w:ascii="Cambria" w:hAnsi="Cambria"/>
                <w:sz w:val="18"/>
                <w:szCs w:val="18"/>
              </w:rPr>
              <w:t>247,919</w:t>
            </w:r>
          </w:p>
        </w:tc>
        <w:tc>
          <w:tcPr>
            <w:tcW w:w="1417" w:type="dxa"/>
            <w:tcBorders>
              <w:left w:val="single" w:sz="18" w:space="0" w:color="17365D"/>
              <w:bottom w:val="single" w:sz="18" w:space="0" w:color="17365D"/>
              <w:right w:val="single" w:sz="18" w:space="0" w:color="17365D"/>
            </w:tcBorders>
            <w:shd w:val="clear" w:color="auto" w:fill="auto"/>
            <w:vAlign w:val="center"/>
          </w:tcPr>
          <w:p w:rsidR="00FB529E" w:rsidRPr="00C044DC" w:rsidRDefault="00FB529E" w:rsidP="00806C87">
            <w:pPr>
              <w:tabs>
                <w:tab w:val="left" w:pos="960"/>
              </w:tabs>
              <w:jc w:val="center"/>
              <w:rPr>
                <w:rFonts w:ascii="Cambria" w:hAnsi="Cambria"/>
                <w:sz w:val="18"/>
                <w:szCs w:val="18"/>
              </w:rPr>
            </w:pPr>
          </w:p>
        </w:tc>
      </w:tr>
      <w:tr w:rsidR="00FB529E" w:rsidRPr="00C044DC" w:rsidTr="00806C87">
        <w:trPr>
          <w:trHeight w:val="419"/>
        </w:trPr>
        <w:tc>
          <w:tcPr>
            <w:tcW w:w="1567" w:type="dxa"/>
            <w:tcBorders>
              <w:top w:val="single" w:sz="18" w:space="0" w:color="17365D"/>
            </w:tcBorders>
            <w:shd w:val="clear" w:color="auto" w:fill="auto"/>
            <w:vAlign w:val="center"/>
          </w:tcPr>
          <w:p w:rsidR="00FB529E" w:rsidRPr="00C044DC" w:rsidRDefault="00FB529E" w:rsidP="00806C87">
            <w:pPr>
              <w:tabs>
                <w:tab w:val="left" w:pos="960"/>
              </w:tabs>
              <w:rPr>
                <w:rFonts w:ascii="Cambria" w:hAnsi="Cambria"/>
                <w:sz w:val="18"/>
                <w:szCs w:val="18"/>
              </w:rPr>
            </w:pPr>
            <w:r w:rsidRPr="00C044DC">
              <w:rPr>
                <w:rFonts w:ascii="Cambria" w:hAnsi="Cambria"/>
                <w:sz w:val="18"/>
                <w:szCs w:val="18"/>
              </w:rPr>
              <w:t>% Outturn / Tgt</w:t>
            </w:r>
          </w:p>
          <w:p w:rsidR="00FB529E" w:rsidRPr="00C044DC" w:rsidRDefault="00FB529E" w:rsidP="00806C87">
            <w:pPr>
              <w:tabs>
                <w:tab w:val="left" w:pos="960"/>
              </w:tabs>
              <w:rPr>
                <w:rFonts w:ascii="Cambria" w:hAnsi="Cambria"/>
                <w:b/>
                <w:sz w:val="18"/>
                <w:szCs w:val="18"/>
              </w:rPr>
            </w:pPr>
            <w:r>
              <w:rPr>
                <w:rFonts w:ascii="Cambria" w:hAnsi="Cambria"/>
                <w:b/>
                <w:sz w:val="18"/>
                <w:szCs w:val="18"/>
              </w:rPr>
              <w:t>Day-case</w:t>
            </w:r>
            <w:r w:rsidRPr="00C044DC">
              <w:rPr>
                <w:rFonts w:ascii="Cambria" w:hAnsi="Cambria"/>
                <w:b/>
                <w:sz w:val="18"/>
                <w:szCs w:val="18"/>
              </w:rPr>
              <w:t xml:space="preserve"> </w:t>
            </w:r>
          </w:p>
        </w:tc>
        <w:tc>
          <w:tcPr>
            <w:tcW w:w="992" w:type="dxa"/>
            <w:tcBorders>
              <w:top w:val="single" w:sz="18" w:space="0" w:color="17365D"/>
            </w:tcBorders>
            <w:shd w:val="clear" w:color="auto" w:fill="auto"/>
            <w:vAlign w:val="center"/>
          </w:tcPr>
          <w:p w:rsidR="00FB529E" w:rsidRPr="00C044DC" w:rsidRDefault="00FB529E" w:rsidP="00806C87">
            <w:pPr>
              <w:tabs>
                <w:tab w:val="left" w:pos="960"/>
              </w:tabs>
              <w:jc w:val="right"/>
              <w:rPr>
                <w:rFonts w:ascii="Cambria" w:hAnsi="Cambria"/>
                <w:i/>
                <w:sz w:val="18"/>
                <w:szCs w:val="18"/>
              </w:rPr>
            </w:pPr>
            <w:r w:rsidRPr="00C044DC">
              <w:rPr>
                <w:rFonts w:ascii="Cambria" w:hAnsi="Cambria"/>
                <w:i/>
                <w:sz w:val="18"/>
                <w:szCs w:val="18"/>
              </w:rPr>
              <w:t>+2.5%</w:t>
            </w:r>
          </w:p>
        </w:tc>
        <w:tc>
          <w:tcPr>
            <w:tcW w:w="851" w:type="dxa"/>
            <w:tcBorders>
              <w:top w:val="single" w:sz="18" w:space="0" w:color="17365D"/>
            </w:tcBorders>
            <w:shd w:val="clear" w:color="auto" w:fill="auto"/>
            <w:vAlign w:val="center"/>
          </w:tcPr>
          <w:p w:rsidR="00FB529E" w:rsidRPr="00C044DC" w:rsidRDefault="00FB529E" w:rsidP="00806C87">
            <w:pPr>
              <w:tabs>
                <w:tab w:val="left" w:pos="960"/>
              </w:tabs>
              <w:jc w:val="right"/>
              <w:rPr>
                <w:rFonts w:ascii="Cambria" w:hAnsi="Cambria"/>
                <w:i/>
                <w:sz w:val="18"/>
                <w:szCs w:val="18"/>
              </w:rPr>
            </w:pPr>
            <w:r w:rsidRPr="00C044DC">
              <w:rPr>
                <w:rFonts w:ascii="Cambria" w:hAnsi="Cambria"/>
                <w:i/>
                <w:sz w:val="18"/>
                <w:szCs w:val="18"/>
              </w:rPr>
              <w:t>+7.9%</w:t>
            </w:r>
          </w:p>
        </w:tc>
        <w:tc>
          <w:tcPr>
            <w:tcW w:w="981" w:type="dxa"/>
            <w:tcBorders>
              <w:top w:val="single" w:sz="18" w:space="0" w:color="17365D"/>
            </w:tcBorders>
            <w:shd w:val="clear" w:color="auto" w:fill="auto"/>
            <w:vAlign w:val="center"/>
          </w:tcPr>
          <w:p w:rsidR="00FB529E" w:rsidRPr="00C044DC" w:rsidRDefault="00FB529E" w:rsidP="00806C87">
            <w:pPr>
              <w:tabs>
                <w:tab w:val="left" w:pos="960"/>
              </w:tabs>
              <w:jc w:val="right"/>
              <w:rPr>
                <w:rFonts w:ascii="Cambria" w:hAnsi="Cambria"/>
                <w:i/>
                <w:sz w:val="18"/>
                <w:szCs w:val="18"/>
              </w:rPr>
            </w:pPr>
            <w:r w:rsidRPr="00C044DC">
              <w:rPr>
                <w:rFonts w:ascii="Cambria" w:hAnsi="Cambria"/>
                <w:i/>
                <w:sz w:val="18"/>
                <w:szCs w:val="18"/>
              </w:rPr>
              <w:t>+4.4%</w:t>
            </w:r>
          </w:p>
        </w:tc>
        <w:tc>
          <w:tcPr>
            <w:tcW w:w="853" w:type="dxa"/>
            <w:tcBorders>
              <w:top w:val="single" w:sz="18" w:space="0" w:color="17365D"/>
            </w:tcBorders>
            <w:shd w:val="clear" w:color="auto" w:fill="auto"/>
            <w:vAlign w:val="center"/>
          </w:tcPr>
          <w:p w:rsidR="00FB529E" w:rsidRPr="00C044DC" w:rsidRDefault="00FB529E" w:rsidP="00806C87">
            <w:pPr>
              <w:tabs>
                <w:tab w:val="left" w:pos="960"/>
              </w:tabs>
              <w:jc w:val="right"/>
              <w:rPr>
                <w:rFonts w:ascii="Cambria" w:hAnsi="Cambria"/>
                <w:i/>
                <w:sz w:val="18"/>
                <w:szCs w:val="18"/>
              </w:rPr>
            </w:pPr>
            <w:r w:rsidRPr="00C044DC">
              <w:rPr>
                <w:rFonts w:ascii="Cambria" w:hAnsi="Cambria"/>
                <w:i/>
                <w:sz w:val="18"/>
                <w:szCs w:val="18"/>
              </w:rPr>
              <w:t>+5.7%</w:t>
            </w:r>
          </w:p>
        </w:tc>
        <w:tc>
          <w:tcPr>
            <w:tcW w:w="853" w:type="dxa"/>
            <w:tcBorders>
              <w:top w:val="single" w:sz="18" w:space="0" w:color="17365D"/>
            </w:tcBorders>
            <w:shd w:val="clear" w:color="auto" w:fill="auto"/>
            <w:vAlign w:val="center"/>
          </w:tcPr>
          <w:p w:rsidR="00FB529E" w:rsidRPr="00C044DC" w:rsidRDefault="00FB529E" w:rsidP="00806C87">
            <w:pPr>
              <w:tabs>
                <w:tab w:val="left" w:pos="960"/>
              </w:tabs>
              <w:jc w:val="right"/>
              <w:rPr>
                <w:rFonts w:ascii="Cambria" w:hAnsi="Cambria"/>
                <w:i/>
                <w:sz w:val="18"/>
                <w:szCs w:val="18"/>
              </w:rPr>
            </w:pPr>
            <w:r w:rsidRPr="00C044DC">
              <w:rPr>
                <w:rFonts w:ascii="Cambria" w:hAnsi="Cambria"/>
                <w:i/>
                <w:sz w:val="18"/>
                <w:szCs w:val="18"/>
              </w:rPr>
              <w:t>+6.5%</w:t>
            </w:r>
          </w:p>
        </w:tc>
        <w:tc>
          <w:tcPr>
            <w:tcW w:w="853" w:type="dxa"/>
            <w:tcBorders>
              <w:top w:val="single" w:sz="18" w:space="0" w:color="17365D"/>
            </w:tcBorders>
            <w:shd w:val="clear" w:color="auto" w:fill="auto"/>
            <w:vAlign w:val="center"/>
          </w:tcPr>
          <w:p w:rsidR="00FB529E" w:rsidRPr="00924ABB" w:rsidRDefault="00FB529E" w:rsidP="00806C87">
            <w:pPr>
              <w:tabs>
                <w:tab w:val="left" w:pos="960"/>
              </w:tabs>
              <w:jc w:val="right"/>
              <w:rPr>
                <w:rFonts w:ascii="Cambria" w:hAnsi="Cambria"/>
                <w:i/>
                <w:sz w:val="18"/>
                <w:szCs w:val="18"/>
              </w:rPr>
            </w:pPr>
            <w:r w:rsidRPr="00924ABB">
              <w:rPr>
                <w:rFonts w:ascii="Cambria" w:hAnsi="Cambria"/>
                <w:i/>
                <w:sz w:val="18"/>
                <w:szCs w:val="18"/>
              </w:rPr>
              <w:t>+5%</w:t>
            </w:r>
          </w:p>
        </w:tc>
        <w:tc>
          <w:tcPr>
            <w:tcW w:w="854" w:type="dxa"/>
            <w:tcBorders>
              <w:top w:val="single" w:sz="18" w:space="0" w:color="17365D"/>
              <w:right w:val="single" w:sz="18" w:space="0" w:color="17365D"/>
            </w:tcBorders>
            <w:vAlign w:val="center"/>
          </w:tcPr>
          <w:p w:rsidR="00FB529E" w:rsidRPr="00924ABB" w:rsidRDefault="00FB529E" w:rsidP="00806C87">
            <w:pPr>
              <w:tabs>
                <w:tab w:val="left" w:pos="960"/>
              </w:tabs>
              <w:jc w:val="right"/>
              <w:rPr>
                <w:rFonts w:ascii="Cambria" w:hAnsi="Cambria"/>
                <w:i/>
                <w:sz w:val="18"/>
                <w:szCs w:val="18"/>
              </w:rPr>
            </w:pPr>
            <w:r w:rsidRPr="00924ABB">
              <w:rPr>
                <w:rFonts w:ascii="Cambria" w:hAnsi="Cambria"/>
                <w:i/>
                <w:sz w:val="18"/>
                <w:szCs w:val="18"/>
              </w:rPr>
              <w:t>+0.79%</w:t>
            </w:r>
          </w:p>
        </w:tc>
        <w:tc>
          <w:tcPr>
            <w:tcW w:w="1276" w:type="dxa"/>
            <w:tcBorders>
              <w:top w:val="single" w:sz="18" w:space="0" w:color="17365D"/>
              <w:right w:val="single" w:sz="18" w:space="0" w:color="17365D"/>
            </w:tcBorders>
            <w:vAlign w:val="center"/>
          </w:tcPr>
          <w:p w:rsidR="00FB529E" w:rsidRPr="00C044DC" w:rsidRDefault="00FB529E" w:rsidP="00806C87">
            <w:pPr>
              <w:tabs>
                <w:tab w:val="left" w:pos="960"/>
              </w:tabs>
              <w:jc w:val="right"/>
              <w:rPr>
                <w:rFonts w:ascii="Cambria" w:hAnsi="Cambria"/>
                <w:sz w:val="18"/>
                <w:szCs w:val="18"/>
              </w:rPr>
            </w:pPr>
            <w:r>
              <w:rPr>
                <w:rFonts w:ascii="Cambria" w:hAnsi="Cambria"/>
                <w:sz w:val="18"/>
                <w:szCs w:val="18"/>
              </w:rPr>
              <w:t>+1.2%</w:t>
            </w:r>
          </w:p>
        </w:tc>
        <w:tc>
          <w:tcPr>
            <w:tcW w:w="1417" w:type="dxa"/>
            <w:tcBorders>
              <w:top w:val="single" w:sz="18" w:space="0" w:color="17365D"/>
              <w:left w:val="single" w:sz="18" w:space="0" w:color="17365D"/>
              <w:right w:val="single" w:sz="18" w:space="0" w:color="17365D"/>
            </w:tcBorders>
            <w:shd w:val="clear" w:color="auto" w:fill="auto"/>
            <w:vAlign w:val="center"/>
          </w:tcPr>
          <w:p w:rsidR="00FB529E" w:rsidRPr="00C044DC" w:rsidRDefault="00FB529E" w:rsidP="00806C87">
            <w:pPr>
              <w:tabs>
                <w:tab w:val="left" w:pos="960"/>
              </w:tabs>
              <w:jc w:val="center"/>
              <w:rPr>
                <w:rFonts w:ascii="Cambria" w:hAnsi="Cambria"/>
                <w:sz w:val="18"/>
                <w:szCs w:val="18"/>
              </w:rPr>
            </w:pPr>
          </w:p>
        </w:tc>
      </w:tr>
      <w:tr w:rsidR="00FB529E" w:rsidRPr="00C044DC" w:rsidTr="00806C87">
        <w:trPr>
          <w:trHeight w:val="419"/>
        </w:trPr>
        <w:tc>
          <w:tcPr>
            <w:tcW w:w="1567" w:type="dxa"/>
            <w:shd w:val="clear" w:color="auto" w:fill="auto"/>
            <w:vAlign w:val="center"/>
          </w:tcPr>
          <w:p w:rsidR="00FB529E" w:rsidRPr="00C044DC" w:rsidRDefault="00FB529E" w:rsidP="00806C87">
            <w:pPr>
              <w:tabs>
                <w:tab w:val="left" w:pos="960"/>
              </w:tabs>
              <w:rPr>
                <w:rFonts w:ascii="Cambria" w:hAnsi="Cambria"/>
                <w:sz w:val="18"/>
                <w:szCs w:val="18"/>
              </w:rPr>
            </w:pPr>
            <w:r w:rsidRPr="00C044DC">
              <w:rPr>
                <w:rFonts w:ascii="Cambria" w:hAnsi="Cambria"/>
                <w:sz w:val="18"/>
                <w:szCs w:val="18"/>
              </w:rPr>
              <w:t>Outturn</w:t>
            </w:r>
          </w:p>
        </w:tc>
        <w:tc>
          <w:tcPr>
            <w:tcW w:w="992" w:type="dxa"/>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590,672</w:t>
            </w:r>
          </w:p>
        </w:tc>
        <w:tc>
          <w:tcPr>
            <w:tcW w:w="851" w:type="dxa"/>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637,140</w:t>
            </w:r>
          </w:p>
        </w:tc>
        <w:tc>
          <w:tcPr>
            <w:tcW w:w="981" w:type="dxa"/>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675,611</w:t>
            </w:r>
          </w:p>
        </w:tc>
        <w:tc>
          <w:tcPr>
            <w:tcW w:w="853" w:type="dxa"/>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728,269</w:t>
            </w:r>
          </w:p>
        </w:tc>
        <w:tc>
          <w:tcPr>
            <w:tcW w:w="853" w:type="dxa"/>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804,274</w:t>
            </w:r>
          </w:p>
        </w:tc>
        <w:tc>
          <w:tcPr>
            <w:tcW w:w="853" w:type="dxa"/>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826,825</w:t>
            </w:r>
          </w:p>
        </w:tc>
        <w:tc>
          <w:tcPr>
            <w:tcW w:w="854" w:type="dxa"/>
            <w:tcBorders>
              <w:right w:val="single" w:sz="18" w:space="0" w:color="17365D"/>
            </w:tcBorders>
            <w:vAlign w:val="center"/>
          </w:tcPr>
          <w:p w:rsidR="00FB529E" w:rsidRPr="00C044DC" w:rsidRDefault="00FB529E" w:rsidP="00806C87">
            <w:pPr>
              <w:tabs>
                <w:tab w:val="left" w:pos="960"/>
              </w:tabs>
              <w:jc w:val="right"/>
              <w:rPr>
                <w:rFonts w:ascii="Cambria" w:hAnsi="Cambria"/>
                <w:sz w:val="18"/>
                <w:szCs w:val="18"/>
              </w:rPr>
            </w:pPr>
            <w:r>
              <w:rPr>
                <w:rFonts w:ascii="Cambria" w:hAnsi="Cambria"/>
                <w:sz w:val="18"/>
                <w:szCs w:val="18"/>
              </w:rPr>
              <w:t>836,789</w:t>
            </w:r>
          </w:p>
        </w:tc>
        <w:tc>
          <w:tcPr>
            <w:tcW w:w="1276" w:type="dxa"/>
            <w:tcBorders>
              <w:right w:val="single" w:sz="18" w:space="0" w:color="17365D"/>
            </w:tcBorders>
            <w:vAlign w:val="center"/>
          </w:tcPr>
          <w:p w:rsidR="00FB529E" w:rsidRDefault="00FB529E" w:rsidP="00806C87">
            <w:pPr>
              <w:tabs>
                <w:tab w:val="left" w:pos="960"/>
              </w:tabs>
              <w:jc w:val="right"/>
              <w:rPr>
                <w:rFonts w:ascii="Cambria" w:hAnsi="Cambria"/>
                <w:sz w:val="18"/>
                <w:szCs w:val="18"/>
              </w:rPr>
            </w:pPr>
            <w:r>
              <w:rPr>
                <w:rFonts w:ascii="Cambria" w:hAnsi="Cambria"/>
                <w:sz w:val="18"/>
                <w:szCs w:val="18"/>
              </w:rPr>
              <w:t>340,272</w:t>
            </w:r>
          </w:p>
        </w:tc>
        <w:tc>
          <w:tcPr>
            <w:tcW w:w="1417" w:type="dxa"/>
            <w:tcBorders>
              <w:left w:val="single" w:sz="18" w:space="0" w:color="17365D"/>
              <w:right w:val="single" w:sz="18" w:space="0" w:color="17365D"/>
            </w:tcBorders>
            <w:shd w:val="clear" w:color="auto" w:fill="auto"/>
            <w:vAlign w:val="center"/>
          </w:tcPr>
          <w:p w:rsidR="00FB529E" w:rsidRDefault="00FB529E" w:rsidP="00806C87">
            <w:pPr>
              <w:tabs>
                <w:tab w:val="left" w:pos="960"/>
              </w:tabs>
              <w:jc w:val="center"/>
              <w:rPr>
                <w:rFonts w:ascii="Cambria" w:hAnsi="Cambria"/>
                <w:sz w:val="18"/>
                <w:szCs w:val="18"/>
              </w:rPr>
            </w:pPr>
            <w:r>
              <w:rPr>
                <w:rFonts w:ascii="Cambria" w:hAnsi="Cambria"/>
                <w:sz w:val="18"/>
                <w:szCs w:val="18"/>
              </w:rPr>
              <w:t>+42%</w:t>
            </w:r>
          </w:p>
          <w:p w:rsidR="00FB529E" w:rsidRPr="00C044DC" w:rsidRDefault="00FB529E" w:rsidP="00806C87">
            <w:pPr>
              <w:tabs>
                <w:tab w:val="left" w:pos="960"/>
              </w:tabs>
              <w:jc w:val="center"/>
              <w:rPr>
                <w:rFonts w:ascii="Cambria" w:hAnsi="Cambria"/>
                <w:sz w:val="18"/>
                <w:szCs w:val="18"/>
              </w:rPr>
            </w:pPr>
            <w:r>
              <w:rPr>
                <w:rFonts w:ascii="Cambria" w:hAnsi="Cambria"/>
                <w:sz w:val="18"/>
                <w:szCs w:val="18"/>
              </w:rPr>
              <w:t>246,117</w:t>
            </w:r>
          </w:p>
        </w:tc>
      </w:tr>
      <w:tr w:rsidR="00FB529E" w:rsidRPr="00C044DC" w:rsidTr="00806C87">
        <w:trPr>
          <w:trHeight w:val="505"/>
        </w:trPr>
        <w:tc>
          <w:tcPr>
            <w:tcW w:w="1567" w:type="dxa"/>
            <w:tcBorders>
              <w:bottom w:val="single" w:sz="18" w:space="0" w:color="17365D"/>
            </w:tcBorders>
            <w:shd w:val="clear" w:color="auto" w:fill="auto"/>
            <w:vAlign w:val="center"/>
          </w:tcPr>
          <w:p w:rsidR="00FB529E" w:rsidRPr="00C044DC" w:rsidRDefault="00FB529E" w:rsidP="00806C87">
            <w:pPr>
              <w:tabs>
                <w:tab w:val="left" w:pos="960"/>
              </w:tabs>
              <w:rPr>
                <w:rFonts w:ascii="Cambria" w:hAnsi="Cambria"/>
                <w:sz w:val="18"/>
                <w:szCs w:val="18"/>
              </w:rPr>
            </w:pPr>
            <w:r w:rsidRPr="00C044DC">
              <w:rPr>
                <w:rFonts w:ascii="Cambria" w:hAnsi="Cambria"/>
                <w:sz w:val="18"/>
                <w:szCs w:val="18"/>
              </w:rPr>
              <w:t>Target</w:t>
            </w:r>
          </w:p>
        </w:tc>
        <w:tc>
          <w:tcPr>
            <w:tcW w:w="992" w:type="dxa"/>
            <w:tcBorders>
              <w:bottom w:val="single" w:sz="18" w:space="0" w:color="17365D"/>
            </w:tcBorders>
            <w:shd w:val="clear" w:color="auto" w:fill="auto"/>
            <w:vAlign w:val="center"/>
          </w:tcPr>
          <w:p w:rsidR="00FB529E" w:rsidRPr="00C044DC" w:rsidRDefault="00FB529E" w:rsidP="00806C87">
            <w:pPr>
              <w:tabs>
                <w:tab w:val="left" w:pos="960"/>
              </w:tabs>
              <w:jc w:val="right"/>
              <w:rPr>
                <w:rFonts w:ascii="Cambria" w:hAnsi="Cambria"/>
                <w:sz w:val="18"/>
                <w:szCs w:val="18"/>
              </w:rPr>
            </w:pPr>
          </w:p>
        </w:tc>
        <w:tc>
          <w:tcPr>
            <w:tcW w:w="851" w:type="dxa"/>
            <w:tcBorders>
              <w:bottom w:val="single" w:sz="18" w:space="0" w:color="17365D"/>
            </w:tcBorders>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590,016</w:t>
            </w:r>
          </w:p>
        </w:tc>
        <w:tc>
          <w:tcPr>
            <w:tcW w:w="981" w:type="dxa"/>
            <w:tcBorders>
              <w:bottom w:val="single" w:sz="18" w:space="0" w:color="17365D"/>
            </w:tcBorders>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647,000</w:t>
            </w:r>
          </w:p>
        </w:tc>
        <w:tc>
          <w:tcPr>
            <w:tcW w:w="853" w:type="dxa"/>
            <w:tcBorders>
              <w:bottom w:val="single" w:sz="18" w:space="0" w:color="17365D"/>
            </w:tcBorders>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689,310</w:t>
            </w:r>
          </w:p>
        </w:tc>
        <w:tc>
          <w:tcPr>
            <w:tcW w:w="853" w:type="dxa"/>
            <w:tcBorders>
              <w:bottom w:val="single" w:sz="18" w:space="0" w:color="17365D"/>
            </w:tcBorders>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755,100</w:t>
            </w:r>
          </w:p>
        </w:tc>
        <w:tc>
          <w:tcPr>
            <w:tcW w:w="853" w:type="dxa"/>
            <w:tcBorders>
              <w:bottom w:val="single" w:sz="18" w:space="0" w:color="17365D"/>
            </w:tcBorders>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787,557</w:t>
            </w:r>
          </w:p>
        </w:tc>
        <w:tc>
          <w:tcPr>
            <w:tcW w:w="854" w:type="dxa"/>
            <w:tcBorders>
              <w:bottom w:val="single" w:sz="18" w:space="0" w:color="17365D"/>
              <w:right w:val="single" w:sz="18" w:space="0" w:color="17365D"/>
            </w:tcBorders>
            <w:vAlign w:val="center"/>
          </w:tcPr>
          <w:p w:rsidR="00FB529E" w:rsidRPr="00C044DC" w:rsidRDefault="00FB529E" w:rsidP="00806C87">
            <w:pPr>
              <w:tabs>
                <w:tab w:val="left" w:pos="960"/>
              </w:tabs>
              <w:jc w:val="right"/>
              <w:rPr>
                <w:rFonts w:ascii="Cambria" w:hAnsi="Cambria"/>
                <w:sz w:val="18"/>
                <w:szCs w:val="18"/>
              </w:rPr>
            </w:pPr>
            <w:r>
              <w:rPr>
                <w:rFonts w:ascii="Cambria" w:hAnsi="Cambria"/>
                <w:sz w:val="18"/>
                <w:szCs w:val="18"/>
              </w:rPr>
              <w:t>830,165</w:t>
            </w:r>
          </w:p>
        </w:tc>
        <w:tc>
          <w:tcPr>
            <w:tcW w:w="1276" w:type="dxa"/>
            <w:tcBorders>
              <w:bottom w:val="single" w:sz="18" w:space="0" w:color="17365D"/>
              <w:right w:val="single" w:sz="18" w:space="0" w:color="17365D"/>
            </w:tcBorders>
            <w:vAlign w:val="center"/>
          </w:tcPr>
          <w:p w:rsidR="00FB529E" w:rsidRPr="00C044DC" w:rsidRDefault="00FB529E" w:rsidP="00806C87">
            <w:pPr>
              <w:tabs>
                <w:tab w:val="left" w:pos="960"/>
              </w:tabs>
              <w:jc w:val="right"/>
              <w:rPr>
                <w:rFonts w:ascii="Cambria" w:hAnsi="Cambria"/>
                <w:sz w:val="18"/>
                <w:szCs w:val="18"/>
              </w:rPr>
            </w:pPr>
            <w:r>
              <w:rPr>
                <w:rFonts w:ascii="Cambria" w:hAnsi="Cambria"/>
                <w:sz w:val="18"/>
                <w:szCs w:val="18"/>
              </w:rPr>
              <w:t>336,044</w:t>
            </w:r>
          </w:p>
        </w:tc>
        <w:tc>
          <w:tcPr>
            <w:tcW w:w="1417" w:type="dxa"/>
            <w:tcBorders>
              <w:left w:val="single" w:sz="18" w:space="0" w:color="17365D"/>
              <w:bottom w:val="single" w:sz="18" w:space="0" w:color="17365D"/>
              <w:right w:val="single" w:sz="18" w:space="0" w:color="17365D"/>
            </w:tcBorders>
            <w:shd w:val="clear" w:color="auto" w:fill="auto"/>
            <w:vAlign w:val="center"/>
          </w:tcPr>
          <w:p w:rsidR="00FB529E" w:rsidRPr="00C044DC" w:rsidRDefault="00FB529E" w:rsidP="00806C87">
            <w:pPr>
              <w:tabs>
                <w:tab w:val="left" w:pos="960"/>
              </w:tabs>
              <w:jc w:val="center"/>
              <w:rPr>
                <w:rFonts w:ascii="Cambria" w:hAnsi="Cambria"/>
                <w:sz w:val="18"/>
                <w:szCs w:val="18"/>
              </w:rPr>
            </w:pPr>
          </w:p>
        </w:tc>
      </w:tr>
      <w:tr w:rsidR="00FB529E" w:rsidRPr="00C044DC" w:rsidTr="00806C87">
        <w:trPr>
          <w:trHeight w:val="628"/>
        </w:trPr>
        <w:tc>
          <w:tcPr>
            <w:tcW w:w="1567" w:type="dxa"/>
            <w:tcBorders>
              <w:top w:val="single" w:sz="18" w:space="0" w:color="17365D"/>
            </w:tcBorders>
            <w:shd w:val="clear" w:color="auto" w:fill="auto"/>
            <w:vAlign w:val="center"/>
          </w:tcPr>
          <w:p w:rsidR="00FB529E" w:rsidRPr="00C044DC" w:rsidRDefault="00FB529E" w:rsidP="00806C87">
            <w:pPr>
              <w:tabs>
                <w:tab w:val="left" w:pos="960"/>
              </w:tabs>
              <w:rPr>
                <w:rFonts w:ascii="Cambria" w:hAnsi="Cambria"/>
                <w:sz w:val="18"/>
                <w:szCs w:val="18"/>
              </w:rPr>
            </w:pPr>
            <w:r w:rsidRPr="00C044DC">
              <w:rPr>
                <w:rFonts w:ascii="Cambria" w:hAnsi="Cambria"/>
                <w:sz w:val="18"/>
                <w:szCs w:val="18"/>
              </w:rPr>
              <w:t>% Outturn / Tgt</w:t>
            </w:r>
          </w:p>
          <w:p w:rsidR="00FB529E" w:rsidRPr="00C044DC" w:rsidRDefault="00FB529E" w:rsidP="00806C87">
            <w:pPr>
              <w:tabs>
                <w:tab w:val="left" w:pos="960"/>
              </w:tabs>
              <w:rPr>
                <w:rFonts w:ascii="Cambria" w:hAnsi="Cambria"/>
                <w:b/>
                <w:sz w:val="18"/>
                <w:szCs w:val="18"/>
              </w:rPr>
            </w:pPr>
            <w:r w:rsidRPr="00C044DC">
              <w:rPr>
                <w:rFonts w:ascii="Cambria" w:hAnsi="Cambria"/>
                <w:b/>
                <w:sz w:val="18"/>
                <w:szCs w:val="18"/>
              </w:rPr>
              <w:t>Emergency Admissions</w:t>
            </w:r>
          </w:p>
        </w:tc>
        <w:tc>
          <w:tcPr>
            <w:tcW w:w="992" w:type="dxa"/>
            <w:tcBorders>
              <w:top w:val="single" w:sz="18" w:space="0" w:color="17365D"/>
            </w:tcBorders>
            <w:shd w:val="clear" w:color="auto" w:fill="auto"/>
            <w:vAlign w:val="center"/>
          </w:tcPr>
          <w:p w:rsidR="00FB529E" w:rsidRPr="00C044DC" w:rsidRDefault="00FB529E" w:rsidP="00806C87">
            <w:pPr>
              <w:tabs>
                <w:tab w:val="left" w:pos="960"/>
              </w:tabs>
              <w:jc w:val="right"/>
              <w:rPr>
                <w:rFonts w:ascii="Cambria" w:hAnsi="Cambria"/>
                <w:i/>
                <w:sz w:val="18"/>
                <w:szCs w:val="18"/>
              </w:rPr>
            </w:pPr>
            <w:r w:rsidRPr="00C044DC">
              <w:rPr>
                <w:rFonts w:ascii="Cambria" w:hAnsi="Cambria"/>
                <w:i/>
                <w:sz w:val="18"/>
                <w:szCs w:val="18"/>
              </w:rPr>
              <w:t>+3%</w:t>
            </w:r>
          </w:p>
        </w:tc>
        <w:tc>
          <w:tcPr>
            <w:tcW w:w="851" w:type="dxa"/>
            <w:tcBorders>
              <w:top w:val="single" w:sz="18" w:space="0" w:color="17365D"/>
            </w:tcBorders>
            <w:shd w:val="clear" w:color="auto" w:fill="auto"/>
            <w:vAlign w:val="center"/>
          </w:tcPr>
          <w:p w:rsidR="00FB529E" w:rsidRPr="00C044DC" w:rsidRDefault="00FB529E" w:rsidP="00806C87">
            <w:pPr>
              <w:tabs>
                <w:tab w:val="left" w:pos="960"/>
              </w:tabs>
              <w:jc w:val="right"/>
              <w:rPr>
                <w:rFonts w:ascii="Cambria" w:hAnsi="Cambria"/>
                <w:i/>
                <w:sz w:val="18"/>
                <w:szCs w:val="18"/>
              </w:rPr>
            </w:pPr>
            <w:r w:rsidRPr="00C044DC">
              <w:rPr>
                <w:rFonts w:ascii="Cambria" w:hAnsi="Cambria"/>
                <w:i/>
                <w:sz w:val="18"/>
                <w:szCs w:val="18"/>
              </w:rPr>
              <w:t>-0.3%</w:t>
            </w:r>
          </w:p>
        </w:tc>
        <w:tc>
          <w:tcPr>
            <w:tcW w:w="981" w:type="dxa"/>
            <w:tcBorders>
              <w:top w:val="single" w:sz="18" w:space="0" w:color="17365D"/>
            </w:tcBorders>
            <w:shd w:val="clear" w:color="auto" w:fill="auto"/>
            <w:vAlign w:val="center"/>
          </w:tcPr>
          <w:p w:rsidR="00FB529E" w:rsidRPr="00C044DC" w:rsidRDefault="00FB529E" w:rsidP="00806C87">
            <w:pPr>
              <w:tabs>
                <w:tab w:val="left" w:pos="960"/>
              </w:tabs>
              <w:jc w:val="right"/>
              <w:rPr>
                <w:rFonts w:ascii="Cambria" w:hAnsi="Cambria"/>
                <w:i/>
                <w:sz w:val="18"/>
                <w:szCs w:val="18"/>
              </w:rPr>
            </w:pPr>
            <w:r w:rsidRPr="00C044DC">
              <w:rPr>
                <w:rFonts w:ascii="Cambria" w:hAnsi="Cambria"/>
                <w:i/>
                <w:sz w:val="18"/>
                <w:szCs w:val="18"/>
              </w:rPr>
              <w:t>-.08%</w:t>
            </w:r>
          </w:p>
        </w:tc>
        <w:tc>
          <w:tcPr>
            <w:tcW w:w="853" w:type="dxa"/>
            <w:tcBorders>
              <w:top w:val="single" w:sz="18" w:space="0" w:color="17365D"/>
            </w:tcBorders>
            <w:shd w:val="clear" w:color="auto" w:fill="auto"/>
            <w:vAlign w:val="center"/>
          </w:tcPr>
          <w:p w:rsidR="00FB529E" w:rsidRPr="00C044DC" w:rsidRDefault="00FB529E" w:rsidP="00806C87">
            <w:pPr>
              <w:tabs>
                <w:tab w:val="left" w:pos="960"/>
              </w:tabs>
              <w:jc w:val="right"/>
              <w:rPr>
                <w:rFonts w:ascii="Cambria" w:hAnsi="Cambria"/>
                <w:i/>
                <w:sz w:val="18"/>
                <w:szCs w:val="18"/>
              </w:rPr>
            </w:pPr>
            <w:r w:rsidRPr="00C044DC">
              <w:rPr>
                <w:rFonts w:ascii="Cambria" w:hAnsi="Cambria"/>
                <w:i/>
                <w:sz w:val="18"/>
                <w:szCs w:val="18"/>
              </w:rPr>
              <w:t>+11.7%</w:t>
            </w:r>
          </w:p>
        </w:tc>
        <w:tc>
          <w:tcPr>
            <w:tcW w:w="853" w:type="dxa"/>
            <w:tcBorders>
              <w:top w:val="single" w:sz="18" w:space="0" w:color="17365D"/>
            </w:tcBorders>
            <w:shd w:val="clear" w:color="auto" w:fill="auto"/>
            <w:vAlign w:val="center"/>
          </w:tcPr>
          <w:p w:rsidR="00FB529E" w:rsidRPr="00C044DC" w:rsidRDefault="00FB529E" w:rsidP="00806C87">
            <w:pPr>
              <w:tabs>
                <w:tab w:val="left" w:pos="960"/>
              </w:tabs>
              <w:jc w:val="right"/>
              <w:rPr>
                <w:rFonts w:ascii="Cambria" w:hAnsi="Cambria"/>
                <w:i/>
                <w:sz w:val="18"/>
                <w:szCs w:val="18"/>
              </w:rPr>
            </w:pPr>
            <w:r w:rsidRPr="00C044DC">
              <w:rPr>
                <w:rFonts w:ascii="Cambria" w:hAnsi="Cambria"/>
                <w:i/>
                <w:sz w:val="18"/>
                <w:szCs w:val="18"/>
              </w:rPr>
              <w:t>+3.1%</w:t>
            </w:r>
          </w:p>
        </w:tc>
        <w:tc>
          <w:tcPr>
            <w:tcW w:w="853" w:type="dxa"/>
            <w:tcBorders>
              <w:top w:val="single" w:sz="18" w:space="0" w:color="17365D"/>
            </w:tcBorders>
            <w:shd w:val="clear" w:color="auto" w:fill="auto"/>
            <w:vAlign w:val="center"/>
          </w:tcPr>
          <w:p w:rsidR="00FB529E" w:rsidRPr="00924ABB" w:rsidRDefault="00FB529E" w:rsidP="00806C87">
            <w:pPr>
              <w:tabs>
                <w:tab w:val="left" w:pos="960"/>
              </w:tabs>
              <w:jc w:val="right"/>
              <w:rPr>
                <w:rFonts w:ascii="Cambria" w:hAnsi="Cambria"/>
                <w:sz w:val="18"/>
                <w:szCs w:val="18"/>
              </w:rPr>
            </w:pPr>
            <w:r w:rsidRPr="00924ABB">
              <w:rPr>
                <w:rFonts w:ascii="Cambria" w:hAnsi="Cambria"/>
                <w:sz w:val="18"/>
                <w:szCs w:val="18"/>
              </w:rPr>
              <w:t xml:space="preserve">  +7.5%  </w:t>
            </w:r>
          </w:p>
        </w:tc>
        <w:tc>
          <w:tcPr>
            <w:tcW w:w="854" w:type="dxa"/>
            <w:tcBorders>
              <w:top w:val="single" w:sz="18" w:space="0" w:color="17365D"/>
              <w:right w:val="single" w:sz="18" w:space="0" w:color="17365D"/>
            </w:tcBorders>
            <w:vAlign w:val="center"/>
          </w:tcPr>
          <w:p w:rsidR="00FB529E" w:rsidRPr="00C044DC" w:rsidRDefault="00FB529E" w:rsidP="00806C87">
            <w:pPr>
              <w:tabs>
                <w:tab w:val="left" w:pos="960"/>
              </w:tabs>
              <w:jc w:val="right"/>
              <w:rPr>
                <w:rFonts w:ascii="Cambria" w:hAnsi="Cambria"/>
                <w:sz w:val="18"/>
                <w:szCs w:val="18"/>
              </w:rPr>
            </w:pPr>
            <w:r>
              <w:rPr>
                <w:rFonts w:ascii="Cambria" w:hAnsi="Cambria"/>
                <w:sz w:val="18"/>
                <w:szCs w:val="18"/>
              </w:rPr>
              <w:t>+3.3%</w:t>
            </w:r>
          </w:p>
        </w:tc>
        <w:tc>
          <w:tcPr>
            <w:tcW w:w="1276" w:type="dxa"/>
            <w:tcBorders>
              <w:top w:val="single" w:sz="18" w:space="0" w:color="17365D"/>
              <w:right w:val="single" w:sz="18" w:space="0" w:color="17365D"/>
            </w:tcBorders>
            <w:vAlign w:val="center"/>
          </w:tcPr>
          <w:p w:rsidR="00FB529E" w:rsidRPr="00C044DC" w:rsidRDefault="00FB529E" w:rsidP="00806C87">
            <w:pPr>
              <w:tabs>
                <w:tab w:val="left" w:pos="960"/>
              </w:tabs>
              <w:jc w:val="right"/>
              <w:rPr>
                <w:rFonts w:ascii="Cambria" w:hAnsi="Cambria"/>
                <w:sz w:val="18"/>
                <w:szCs w:val="18"/>
              </w:rPr>
            </w:pPr>
            <w:r>
              <w:rPr>
                <w:rFonts w:ascii="Cambria" w:hAnsi="Cambria"/>
                <w:sz w:val="18"/>
                <w:szCs w:val="18"/>
              </w:rPr>
              <w:t>-1.4%</w:t>
            </w:r>
          </w:p>
        </w:tc>
        <w:tc>
          <w:tcPr>
            <w:tcW w:w="1417" w:type="dxa"/>
            <w:tcBorders>
              <w:top w:val="single" w:sz="18" w:space="0" w:color="17365D"/>
              <w:left w:val="single" w:sz="18" w:space="0" w:color="17365D"/>
              <w:right w:val="single" w:sz="18" w:space="0" w:color="17365D"/>
            </w:tcBorders>
            <w:shd w:val="clear" w:color="auto" w:fill="auto"/>
            <w:vAlign w:val="center"/>
          </w:tcPr>
          <w:p w:rsidR="00FB529E" w:rsidRPr="00C044DC" w:rsidRDefault="00FB529E" w:rsidP="00806C87">
            <w:pPr>
              <w:tabs>
                <w:tab w:val="left" w:pos="960"/>
              </w:tabs>
              <w:jc w:val="center"/>
              <w:rPr>
                <w:rFonts w:ascii="Cambria" w:hAnsi="Cambria"/>
                <w:sz w:val="18"/>
                <w:szCs w:val="18"/>
              </w:rPr>
            </w:pPr>
          </w:p>
        </w:tc>
      </w:tr>
      <w:tr w:rsidR="00FB529E" w:rsidRPr="00C044DC" w:rsidTr="00806C87">
        <w:trPr>
          <w:trHeight w:val="419"/>
        </w:trPr>
        <w:tc>
          <w:tcPr>
            <w:tcW w:w="1567" w:type="dxa"/>
            <w:shd w:val="clear" w:color="auto" w:fill="auto"/>
            <w:vAlign w:val="center"/>
          </w:tcPr>
          <w:p w:rsidR="00FB529E" w:rsidRPr="00C044DC" w:rsidRDefault="00FB529E" w:rsidP="00806C87">
            <w:pPr>
              <w:tabs>
                <w:tab w:val="left" w:pos="960"/>
              </w:tabs>
              <w:rPr>
                <w:rFonts w:ascii="Cambria" w:hAnsi="Cambria"/>
                <w:sz w:val="18"/>
                <w:szCs w:val="18"/>
              </w:rPr>
            </w:pPr>
            <w:r w:rsidRPr="00C044DC">
              <w:rPr>
                <w:rFonts w:ascii="Cambria" w:hAnsi="Cambria"/>
                <w:sz w:val="18"/>
                <w:szCs w:val="18"/>
              </w:rPr>
              <w:t>Outturn</w:t>
            </w:r>
          </w:p>
        </w:tc>
        <w:tc>
          <w:tcPr>
            <w:tcW w:w="992" w:type="dxa"/>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370,040</w:t>
            </w:r>
          </w:p>
        </w:tc>
        <w:tc>
          <w:tcPr>
            <w:tcW w:w="851" w:type="dxa"/>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368,341</w:t>
            </w:r>
          </w:p>
        </w:tc>
        <w:tc>
          <w:tcPr>
            <w:tcW w:w="981" w:type="dxa"/>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366,690</w:t>
            </w:r>
          </w:p>
        </w:tc>
        <w:tc>
          <w:tcPr>
            <w:tcW w:w="853" w:type="dxa"/>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369,031</w:t>
            </w:r>
          </w:p>
        </w:tc>
        <w:tc>
          <w:tcPr>
            <w:tcW w:w="853" w:type="dxa"/>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372,644</w:t>
            </w:r>
          </w:p>
        </w:tc>
        <w:tc>
          <w:tcPr>
            <w:tcW w:w="853" w:type="dxa"/>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384,641</w:t>
            </w:r>
          </w:p>
        </w:tc>
        <w:tc>
          <w:tcPr>
            <w:tcW w:w="854" w:type="dxa"/>
            <w:tcBorders>
              <w:right w:val="single" w:sz="18" w:space="0" w:color="17365D"/>
            </w:tcBorders>
            <w:vAlign w:val="center"/>
          </w:tcPr>
          <w:p w:rsidR="00FB529E" w:rsidRPr="00C044DC" w:rsidRDefault="00FB529E" w:rsidP="00806C87">
            <w:pPr>
              <w:tabs>
                <w:tab w:val="left" w:pos="960"/>
              </w:tabs>
              <w:jc w:val="right"/>
              <w:rPr>
                <w:rFonts w:ascii="Cambria" w:hAnsi="Cambria"/>
                <w:sz w:val="18"/>
                <w:szCs w:val="18"/>
              </w:rPr>
            </w:pPr>
            <w:r>
              <w:rPr>
                <w:rFonts w:ascii="Cambria" w:hAnsi="Cambria"/>
                <w:sz w:val="18"/>
                <w:szCs w:val="18"/>
              </w:rPr>
              <w:t>393,846</w:t>
            </w:r>
          </w:p>
        </w:tc>
        <w:tc>
          <w:tcPr>
            <w:tcW w:w="1276" w:type="dxa"/>
            <w:tcBorders>
              <w:right w:val="single" w:sz="18" w:space="0" w:color="17365D"/>
            </w:tcBorders>
            <w:vAlign w:val="center"/>
          </w:tcPr>
          <w:p w:rsidR="00FB529E" w:rsidRDefault="00FB529E" w:rsidP="00806C87">
            <w:pPr>
              <w:tabs>
                <w:tab w:val="left" w:pos="960"/>
              </w:tabs>
              <w:jc w:val="right"/>
              <w:rPr>
                <w:rFonts w:ascii="Cambria" w:hAnsi="Cambria"/>
                <w:sz w:val="18"/>
                <w:szCs w:val="18"/>
              </w:rPr>
            </w:pPr>
            <w:r>
              <w:rPr>
                <w:rFonts w:ascii="Cambria" w:hAnsi="Cambria"/>
                <w:sz w:val="18"/>
                <w:szCs w:val="18"/>
              </w:rPr>
              <w:t>167,674</w:t>
            </w:r>
          </w:p>
        </w:tc>
        <w:tc>
          <w:tcPr>
            <w:tcW w:w="1417" w:type="dxa"/>
            <w:tcBorders>
              <w:left w:val="single" w:sz="18" w:space="0" w:color="17365D"/>
              <w:right w:val="single" w:sz="18" w:space="0" w:color="17365D"/>
            </w:tcBorders>
            <w:shd w:val="clear" w:color="auto" w:fill="auto"/>
            <w:vAlign w:val="center"/>
          </w:tcPr>
          <w:p w:rsidR="00FB529E" w:rsidRDefault="00FB529E" w:rsidP="00806C87">
            <w:pPr>
              <w:tabs>
                <w:tab w:val="left" w:pos="960"/>
              </w:tabs>
              <w:jc w:val="center"/>
              <w:rPr>
                <w:rFonts w:ascii="Cambria" w:hAnsi="Cambria"/>
                <w:sz w:val="18"/>
                <w:szCs w:val="18"/>
              </w:rPr>
            </w:pPr>
            <w:r>
              <w:rPr>
                <w:rFonts w:ascii="Cambria" w:hAnsi="Cambria"/>
                <w:sz w:val="18"/>
                <w:szCs w:val="18"/>
              </w:rPr>
              <w:t>+6.4%</w:t>
            </w:r>
          </w:p>
          <w:p w:rsidR="00FB529E" w:rsidRPr="00C044DC" w:rsidRDefault="00FB529E" w:rsidP="00806C87">
            <w:pPr>
              <w:tabs>
                <w:tab w:val="left" w:pos="960"/>
              </w:tabs>
              <w:jc w:val="center"/>
              <w:rPr>
                <w:rFonts w:ascii="Cambria" w:hAnsi="Cambria"/>
                <w:sz w:val="18"/>
                <w:szCs w:val="18"/>
              </w:rPr>
            </w:pPr>
            <w:r>
              <w:rPr>
                <w:rFonts w:ascii="Cambria" w:hAnsi="Cambria"/>
                <w:sz w:val="18"/>
                <w:szCs w:val="18"/>
              </w:rPr>
              <w:t>23,806</w:t>
            </w:r>
          </w:p>
        </w:tc>
      </w:tr>
      <w:tr w:rsidR="00FB529E" w:rsidRPr="00C044DC" w:rsidTr="00806C87">
        <w:trPr>
          <w:trHeight w:val="584"/>
        </w:trPr>
        <w:tc>
          <w:tcPr>
            <w:tcW w:w="1567" w:type="dxa"/>
            <w:tcBorders>
              <w:bottom w:val="single" w:sz="18" w:space="0" w:color="17365D"/>
            </w:tcBorders>
            <w:shd w:val="clear" w:color="auto" w:fill="auto"/>
            <w:vAlign w:val="center"/>
          </w:tcPr>
          <w:p w:rsidR="00FB529E" w:rsidRPr="00C044DC" w:rsidRDefault="00FB529E" w:rsidP="00806C87">
            <w:pPr>
              <w:tabs>
                <w:tab w:val="left" w:pos="960"/>
              </w:tabs>
              <w:rPr>
                <w:rFonts w:ascii="Cambria" w:hAnsi="Cambria"/>
                <w:sz w:val="18"/>
                <w:szCs w:val="18"/>
              </w:rPr>
            </w:pPr>
            <w:r w:rsidRPr="00C044DC">
              <w:rPr>
                <w:rFonts w:ascii="Cambria" w:hAnsi="Cambria"/>
                <w:sz w:val="18"/>
                <w:szCs w:val="18"/>
              </w:rPr>
              <w:t>Target</w:t>
            </w:r>
          </w:p>
        </w:tc>
        <w:tc>
          <w:tcPr>
            <w:tcW w:w="992" w:type="dxa"/>
            <w:tcBorders>
              <w:bottom w:val="single" w:sz="18" w:space="0" w:color="17365D"/>
            </w:tcBorders>
            <w:shd w:val="clear" w:color="auto" w:fill="auto"/>
            <w:vAlign w:val="center"/>
          </w:tcPr>
          <w:p w:rsidR="00FB529E" w:rsidRPr="00C044DC" w:rsidRDefault="00FB529E" w:rsidP="00806C87">
            <w:pPr>
              <w:tabs>
                <w:tab w:val="left" w:pos="960"/>
              </w:tabs>
              <w:jc w:val="right"/>
              <w:rPr>
                <w:rFonts w:ascii="Cambria" w:hAnsi="Cambria"/>
                <w:sz w:val="18"/>
                <w:szCs w:val="18"/>
              </w:rPr>
            </w:pPr>
          </w:p>
        </w:tc>
        <w:tc>
          <w:tcPr>
            <w:tcW w:w="851" w:type="dxa"/>
            <w:tcBorders>
              <w:bottom w:val="single" w:sz="18" w:space="0" w:color="17365D"/>
            </w:tcBorders>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369,368</w:t>
            </w:r>
          </w:p>
        </w:tc>
        <w:tc>
          <w:tcPr>
            <w:tcW w:w="981" w:type="dxa"/>
            <w:tcBorders>
              <w:bottom w:val="single" w:sz="18" w:space="0" w:color="17365D"/>
            </w:tcBorders>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367,000</w:t>
            </w:r>
          </w:p>
        </w:tc>
        <w:tc>
          <w:tcPr>
            <w:tcW w:w="853" w:type="dxa"/>
            <w:tcBorders>
              <w:bottom w:val="single" w:sz="18" w:space="0" w:color="17365D"/>
            </w:tcBorders>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330,298</w:t>
            </w:r>
          </w:p>
        </w:tc>
        <w:tc>
          <w:tcPr>
            <w:tcW w:w="853" w:type="dxa"/>
            <w:tcBorders>
              <w:bottom w:val="single" w:sz="18" w:space="0" w:color="17365D"/>
            </w:tcBorders>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361,400</w:t>
            </w:r>
          </w:p>
        </w:tc>
        <w:tc>
          <w:tcPr>
            <w:tcW w:w="853" w:type="dxa"/>
            <w:tcBorders>
              <w:bottom w:val="single" w:sz="18" w:space="0" w:color="17365D"/>
            </w:tcBorders>
            <w:shd w:val="clear" w:color="auto" w:fill="auto"/>
            <w:vAlign w:val="center"/>
          </w:tcPr>
          <w:p w:rsidR="00FB529E" w:rsidRPr="00C044DC" w:rsidRDefault="00FB529E" w:rsidP="00806C87">
            <w:pPr>
              <w:tabs>
                <w:tab w:val="left" w:pos="960"/>
              </w:tabs>
              <w:jc w:val="right"/>
              <w:rPr>
                <w:rFonts w:ascii="Cambria" w:hAnsi="Cambria"/>
                <w:sz w:val="18"/>
                <w:szCs w:val="18"/>
              </w:rPr>
            </w:pPr>
            <w:r w:rsidRPr="00C044DC">
              <w:rPr>
                <w:rFonts w:ascii="Cambria" w:hAnsi="Cambria"/>
                <w:sz w:val="18"/>
                <w:szCs w:val="18"/>
              </w:rPr>
              <w:t>357,600</w:t>
            </w:r>
          </w:p>
        </w:tc>
        <w:tc>
          <w:tcPr>
            <w:tcW w:w="854" w:type="dxa"/>
            <w:tcBorders>
              <w:bottom w:val="single" w:sz="18" w:space="0" w:color="17365D"/>
              <w:right w:val="single" w:sz="18" w:space="0" w:color="17365D"/>
            </w:tcBorders>
            <w:vAlign w:val="center"/>
          </w:tcPr>
          <w:p w:rsidR="00FB529E" w:rsidRPr="00C044DC" w:rsidRDefault="00FB529E" w:rsidP="00806C87">
            <w:pPr>
              <w:tabs>
                <w:tab w:val="left" w:pos="960"/>
              </w:tabs>
              <w:jc w:val="right"/>
              <w:rPr>
                <w:rFonts w:ascii="Cambria" w:hAnsi="Cambria"/>
                <w:sz w:val="18"/>
                <w:szCs w:val="18"/>
              </w:rPr>
            </w:pPr>
            <w:r>
              <w:rPr>
                <w:rFonts w:ascii="Cambria" w:hAnsi="Cambria"/>
                <w:sz w:val="18"/>
                <w:szCs w:val="18"/>
              </w:rPr>
              <w:t>380,990</w:t>
            </w:r>
          </w:p>
        </w:tc>
        <w:tc>
          <w:tcPr>
            <w:tcW w:w="1276" w:type="dxa"/>
            <w:tcBorders>
              <w:bottom w:val="single" w:sz="18" w:space="0" w:color="17365D"/>
              <w:right w:val="single" w:sz="18" w:space="0" w:color="17365D"/>
            </w:tcBorders>
            <w:vAlign w:val="center"/>
          </w:tcPr>
          <w:p w:rsidR="00FB529E" w:rsidRPr="00C044DC" w:rsidRDefault="00FB529E" w:rsidP="00806C87">
            <w:pPr>
              <w:tabs>
                <w:tab w:val="left" w:pos="960"/>
              </w:tabs>
              <w:jc w:val="right"/>
              <w:rPr>
                <w:rFonts w:ascii="Cambria" w:hAnsi="Cambria"/>
                <w:sz w:val="18"/>
                <w:szCs w:val="18"/>
              </w:rPr>
            </w:pPr>
            <w:r>
              <w:rPr>
                <w:rFonts w:ascii="Cambria" w:hAnsi="Cambria"/>
                <w:sz w:val="18"/>
                <w:szCs w:val="18"/>
              </w:rPr>
              <w:t>169,941</w:t>
            </w:r>
          </w:p>
        </w:tc>
        <w:tc>
          <w:tcPr>
            <w:tcW w:w="1417" w:type="dxa"/>
            <w:tcBorders>
              <w:left w:val="single" w:sz="18" w:space="0" w:color="17365D"/>
              <w:bottom w:val="single" w:sz="18" w:space="0" w:color="17365D"/>
              <w:right w:val="single" w:sz="18" w:space="0" w:color="17365D"/>
            </w:tcBorders>
            <w:shd w:val="clear" w:color="auto" w:fill="auto"/>
            <w:vAlign w:val="center"/>
          </w:tcPr>
          <w:p w:rsidR="00FB529E" w:rsidRPr="00C044DC" w:rsidRDefault="00FB529E" w:rsidP="00806C87">
            <w:pPr>
              <w:tabs>
                <w:tab w:val="left" w:pos="960"/>
              </w:tabs>
              <w:jc w:val="center"/>
              <w:rPr>
                <w:rFonts w:ascii="Cambria" w:hAnsi="Cambria"/>
                <w:sz w:val="18"/>
                <w:szCs w:val="18"/>
              </w:rPr>
            </w:pPr>
          </w:p>
        </w:tc>
      </w:tr>
    </w:tbl>
    <w:p w:rsidR="00FB529E" w:rsidRDefault="00FB529E" w:rsidP="00C044DC">
      <w:pPr>
        <w:tabs>
          <w:tab w:val="left" w:pos="960"/>
        </w:tabs>
        <w:rPr>
          <w:rFonts w:ascii="Cambria" w:hAnsi="Cambria"/>
          <w:i/>
          <w:sz w:val="20"/>
          <w:szCs w:val="20"/>
        </w:rPr>
      </w:pPr>
      <w:r w:rsidRPr="00C044DC">
        <w:rPr>
          <w:rFonts w:ascii="Cambria" w:hAnsi="Cambria"/>
          <w:i/>
          <w:sz w:val="20"/>
          <w:szCs w:val="20"/>
        </w:rPr>
        <w:t xml:space="preserve">Source: </w:t>
      </w:r>
      <w:r>
        <w:rPr>
          <w:rFonts w:ascii="Cambria" w:hAnsi="Cambria"/>
          <w:i/>
          <w:sz w:val="20"/>
          <w:szCs w:val="20"/>
        </w:rPr>
        <w:t>Annual and May 2014</w:t>
      </w:r>
      <w:r w:rsidRPr="00C044DC">
        <w:rPr>
          <w:rFonts w:ascii="Cambria" w:hAnsi="Cambria"/>
          <w:i/>
          <w:sz w:val="20"/>
          <w:szCs w:val="20"/>
        </w:rPr>
        <w:t xml:space="preserve"> Performance Report</w:t>
      </w:r>
      <w:r>
        <w:rPr>
          <w:rFonts w:ascii="Cambria" w:hAnsi="Cambria"/>
          <w:i/>
          <w:sz w:val="20"/>
          <w:szCs w:val="20"/>
        </w:rPr>
        <w:t>s</w:t>
      </w:r>
    </w:p>
    <w:p w:rsidR="00FB529E" w:rsidRDefault="00FB529E" w:rsidP="00C044DC">
      <w:pPr>
        <w:tabs>
          <w:tab w:val="left" w:pos="960"/>
        </w:tabs>
        <w:rPr>
          <w:rFonts w:ascii="Cambria" w:hAnsi="Cambria"/>
          <w:i/>
          <w:sz w:val="20"/>
          <w:szCs w:val="20"/>
        </w:rPr>
      </w:pPr>
    </w:p>
    <w:p w:rsidR="00FB529E" w:rsidRDefault="00FB529E" w:rsidP="001636B5">
      <w:pPr>
        <w:keepNext/>
        <w:tabs>
          <w:tab w:val="left" w:pos="960"/>
        </w:tabs>
        <w:rPr>
          <w:b/>
          <w:i/>
          <w:sz w:val="20"/>
          <w:szCs w:val="20"/>
        </w:rPr>
      </w:pPr>
      <w:r>
        <w:rPr>
          <w:b/>
          <w:i/>
          <w:sz w:val="20"/>
          <w:szCs w:val="20"/>
        </w:rPr>
        <w:t>Figure 5</w:t>
      </w:r>
      <w:r w:rsidRPr="00C0410A">
        <w:rPr>
          <w:b/>
          <w:i/>
          <w:sz w:val="20"/>
          <w:szCs w:val="20"/>
        </w:rPr>
        <w:t xml:space="preserve">: Hospital Activity 2007 </w:t>
      </w:r>
      <w:r>
        <w:rPr>
          <w:b/>
          <w:i/>
          <w:sz w:val="20"/>
          <w:szCs w:val="20"/>
        </w:rPr>
        <w:t>– 2013</w:t>
      </w:r>
    </w:p>
    <w:p w:rsidR="00FB529E" w:rsidRDefault="00FB529E" w:rsidP="003D030E">
      <w:pPr>
        <w:tabs>
          <w:tab w:val="left" w:pos="960"/>
        </w:tabs>
        <w:rPr>
          <w:b/>
          <w:i/>
          <w:sz w:val="20"/>
          <w:szCs w:val="20"/>
        </w:rPr>
      </w:pPr>
      <w:r w:rsidRPr="00561408">
        <w:rPr>
          <w:b/>
          <w:i/>
          <w:noProof/>
          <w:sz w:val="20"/>
          <w:szCs w:val="20"/>
        </w:rPr>
        <w:pict>
          <v:shape id="Chart 3" o:spid="_x0000_i1030" type="#_x0000_t75" style="width:442.5pt;height:256.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">
            <v:imagedata r:id="rId16" o:title=""/>
            <o:lock v:ext="edit" aspectratio="f"/>
          </v:shape>
        </w:pict>
      </w:r>
    </w:p>
    <w:p w:rsidR="00FB529E" w:rsidRPr="003D030E" w:rsidRDefault="00FB529E" w:rsidP="003D030E">
      <w:pPr>
        <w:tabs>
          <w:tab w:val="left" w:pos="960"/>
        </w:tabs>
        <w:rPr>
          <w:b/>
          <w:i/>
          <w:sz w:val="20"/>
          <w:szCs w:val="20"/>
        </w:rPr>
      </w:pPr>
      <w:r>
        <w:rPr>
          <w:rFonts w:ascii="Cambria" w:hAnsi="Cambria"/>
          <w:i/>
          <w:sz w:val="20"/>
          <w:szCs w:val="20"/>
        </w:rPr>
        <w:t>Source: HSE Performance Reports</w:t>
      </w:r>
    </w:p>
    <w:p w:rsidR="00FB529E" w:rsidRDefault="00FB529E" w:rsidP="00C42352">
      <w:pPr>
        <w:pStyle w:val="ListParagraph"/>
        <w:ind w:left="0"/>
        <w:rPr>
          <w:sz w:val="20"/>
          <w:szCs w:val="20"/>
        </w:rPr>
      </w:pPr>
    </w:p>
    <w:p w:rsidR="00FB529E" w:rsidRDefault="00FB529E" w:rsidP="00FB529E">
      <w:pPr>
        <w:pStyle w:val="ListParagraph"/>
        <w:numPr>
          <w:ilvl w:val="1"/>
          <w:numId w:val="8"/>
        </w:numPr>
        <w:ind w:left="0"/>
        <w:jc w:val="both"/>
        <w:rPr>
          <w:sz w:val="20"/>
          <w:szCs w:val="20"/>
        </w:rPr>
      </w:pPr>
      <w:r>
        <w:rPr>
          <w:sz w:val="20"/>
          <w:szCs w:val="20"/>
        </w:rPr>
        <w:t xml:space="preserve">There is now a major concern that the progress achieved in treating an increased number of patients in recent years is being undermined due to a </w:t>
      </w:r>
      <w:r w:rsidRPr="00C42352">
        <w:rPr>
          <w:sz w:val="20"/>
          <w:szCs w:val="20"/>
        </w:rPr>
        <w:t>lack of frontline resources</w:t>
      </w:r>
      <w:r>
        <w:rPr>
          <w:sz w:val="20"/>
          <w:szCs w:val="20"/>
        </w:rPr>
        <w:t xml:space="preserve"> as demonstrated by the reduction (-3.5%)  in day case patients treated up to the end of May this year. A total of 340,272 </w:t>
      </w:r>
      <w:r w:rsidRPr="00E25C9C">
        <w:rPr>
          <w:sz w:val="20"/>
          <w:szCs w:val="20"/>
        </w:rPr>
        <w:t>day case</w:t>
      </w:r>
      <w:r>
        <w:rPr>
          <w:sz w:val="20"/>
          <w:szCs w:val="20"/>
        </w:rPr>
        <w:t xml:space="preserve"> patients were treated up to May 2014 which is 12,500 below the same period in 2013 as shown in Table 3. </w:t>
      </w:r>
    </w:p>
    <w:p w:rsidR="00FB529E" w:rsidRDefault="00FB529E" w:rsidP="008E1D98">
      <w:pPr>
        <w:tabs>
          <w:tab w:val="left" w:pos="960"/>
        </w:tabs>
        <w:rPr>
          <w:b/>
          <w:i/>
          <w:sz w:val="20"/>
          <w:szCs w:val="20"/>
        </w:rPr>
      </w:pPr>
    </w:p>
    <w:p w:rsidR="00FB529E" w:rsidRPr="001636B5" w:rsidRDefault="00FB529E" w:rsidP="00806C87">
      <w:pPr>
        <w:tabs>
          <w:tab w:val="left" w:pos="960"/>
        </w:tabs>
        <w:rPr>
          <w:b/>
          <w:i/>
          <w:sz w:val="20"/>
          <w:szCs w:val="20"/>
        </w:rPr>
      </w:pPr>
      <w:r>
        <w:rPr>
          <w:b/>
          <w:i/>
          <w:sz w:val="20"/>
          <w:szCs w:val="20"/>
        </w:rPr>
        <w:t>Table 3:  Daycase Numbers (May 2013 versus May</w:t>
      </w:r>
      <w:r w:rsidRPr="001636B5">
        <w:rPr>
          <w:b/>
          <w:i/>
          <w:sz w:val="20"/>
          <w:szCs w:val="20"/>
        </w:rPr>
        <w:t xml:space="preserve"> 2014)</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701"/>
        <w:gridCol w:w="2268"/>
        <w:gridCol w:w="2268"/>
      </w:tblGrid>
      <w:tr w:rsidR="00FB529E" w:rsidRPr="00C044DC" w:rsidTr="00806C87">
        <w:trPr>
          <w:trHeight w:val="790"/>
        </w:trPr>
        <w:tc>
          <w:tcPr>
            <w:tcW w:w="2127" w:type="dxa"/>
            <w:shd w:val="clear" w:color="auto" w:fill="auto"/>
            <w:vAlign w:val="bottom"/>
          </w:tcPr>
          <w:p w:rsidR="00FB529E" w:rsidRDefault="00FB529E" w:rsidP="00806C87">
            <w:pPr>
              <w:tabs>
                <w:tab w:val="left" w:pos="960"/>
              </w:tabs>
              <w:jc w:val="center"/>
              <w:rPr>
                <w:rFonts w:ascii="Cambria" w:hAnsi="Cambria"/>
                <w:b/>
                <w:sz w:val="18"/>
                <w:szCs w:val="18"/>
              </w:rPr>
            </w:pPr>
            <w:r>
              <w:rPr>
                <w:rFonts w:ascii="Cambria" w:hAnsi="Cambria"/>
                <w:b/>
                <w:sz w:val="18"/>
                <w:szCs w:val="18"/>
              </w:rPr>
              <w:t>May 2013</w:t>
            </w:r>
          </w:p>
          <w:p w:rsidR="00FB529E" w:rsidRPr="00C044DC" w:rsidRDefault="00FB529E" w:rsidP="00806C87">
            <w:pPr>
              <w:tabs>
                <w:tab w:val="left" w:pos="960"/>
              </w:tabs>
              <w:jc w:val="center"/>
              <w:rPr>
                <w:rFonts w:ascii="Cambria" w:hAnsi="Cambria"/>
                <w:b/>
                <w:sz w:val="18"/>
                <w:szCs w:val="18"/>
              </w:rPr>
            </w:pPr>
            <w:r>
              <w:rPr>
                <w:rFonts w:ascii="Cambria" w:hAnsi="Cambria"/>
                <w:b/>
                <w:sz w:val="18"/>
                <w:szCs w:val="18"/>
              </w:rPr>
              <w:t>Day case  patients treated</w:t>
            </w:r>
          </w:p>
        </w:tc>
        <w:tc>
          <w:tcPr>
            <w:tcW w:w="1701" w:type="dxa"/>
            <w:tcBorders>
              <w:bottom w:val="single" w:sz="4" w:space="0" w:color="auto"/>
              <w:right w:val="single" w:sz="18" w:space="0" w:color="17365D"/>
            </w:tcBorders>
            <w:shd w:val="clear" w:color="auto" w:fill="auto"/>
            <w:vAlign w:val="bottom"/>
          </w:tcPr>
          <w:p w:rsidR="00FB529E" w:rsidRDefault="00FB529E" w:rsidP="00806C87">
            <w:pPr>
              <w:tabs>
                <w:tab w:val="left" w:pos="960"/>
              </w:tabs>
              <w:jc w:val="center"/>
              <w:rPr>
                <w:rFonts w:ascii="Cambria" w:hAnsi="Cambria"/>
                <w:b/>
                <w:sz w:val="18"/>
                <w:szCs w:val="18"/>
              </w:rPr>
            </w:pPr>
            <w:r>
              <w:rPr>
                <w:rFonts w:ascii="Cambria" w:hAnsi="Cambria"/>
                <w:b/>
                <w:sz w:val="18"/>
                <w:szCs w:val="18"/>
              </w:rPr>
              <w:t>Reduction 2013v 2012</w:t>
            </w:r>
          </w:p>
          <w:p w:rsidR="00FB529E" w:rsidRPr="0013263C" w:rsidRDefault="00FB529E" w:rsidP="00806C87">
            <w:pPr>
              <w:tabs>
                <w:tab w:val="left" w:pos="960"/>
              </w:tabs>
              <w:jc w:val="center"/>
              <w:rPr>
                <w:rFonts w:ascii="Cambria" w:hAnsi="Cambria"/>
                <w:b/>
                <w:sz w:val="18"/>
                <w:szCs w:val="18"/>
              </w:rPr>
            </w:pPr>
          </w:p>
        </w:tc>
        <w:tc>
          <w:tcPr>
            <w:tcW w:w="2268" w:type="dxa"/>
            <w:tcBorders>
              <w:left w:val="single" w:sz="18" w:space="0" w:color="17365D"/>
              <w:right w:val="single" w:sz="2" w:space="0" w:color="17365D"/>
            </w:tcBorders>
            <w:vAlign w:val="bottom"/>
          </w:tcPr>
          <w:p w:rsidR="00FB529E" w:rsidRDefault="00FB529E" w:rsidP="00806C87">
            <w:pPr>
              <w:tabs>
                <w:tab w:val="left" w:pos="960"/>
              </w:tabs>
              <w:jc w:val="center"/>
              <w:rPr>
                <w:rFonts w:ascii="Cambria" w:hAnsi="Cambria"/>
                <w:b/>
                <w:sz w:val="18"/>
                <w:szCs w:val="18"/>
              </w:rPr>
            </w:pPr>
            <w:r>
              <w:rPr>
                <w:rFonts w:ascii="Cambria" w:hAnsi="Cambria"/>
                <w:b/>
                <w:sz w:val="18"/>
                <w:szCs w:val="18"/>
              </w:rPr>
              <w:t>May</w:t>
            </w:r>
            <w:r w:rsidRPr="0013263C">
              <w:rPr>
                <w:rFonts w:ascii="Cambria" w:hAnsi="Cambria"/>
                <w:b/>
                <w:sz w:val="18"/>
                <w:szCs w:val="18"/>
              </w:rPr>
              <w:t xml:space="preserve"> 2014</w:t>
            </w:r>
          </w:p>
          <w:p w:rsidR="00FB529E" w:rsidRPr="0013263C" w:rsidRDefault="00FB529E" w:rsidP="00806C87">
            <w:pPr>
              <w:tabs>
                <w:tab w:val="left" w:pos="960"/>
              </w:tabs>
              <w:jc w:val="center"/>
              <w:rPr>
                <w:rFonts w:ascii="Cambria" w:hAnsi="Cambria"/>
                <w:b/>
                <w:sz w:val="18"/>
                <w:szCs w:val="18"/>
              </w:rPr>
            </w:pPr>
            <w:r>
              <w:rPr>
                <w:rFonts w:ascii="Cambria" w:hAnsi="Cambria"/>
                <w:b/>
                <w:sz w:val="18"/>
                <w:szCs w:val="18"/>
              </w:rPr>
              <w:t>Day case patients treated</w:t>
            </w:r>
          </w:p>
        </w:tc>
        <w:tc>
          <w:tcPr>
            <w:tcW w:w="2268" w:type="dxa"/>
            <w:tcBorders>
              <w:left w:val="single" w:sz="2" w:space="0" w:color="17365D"/>
              <w:right w:val="single" w:sz="2" w:space="0" w:color="17365D"/>
            </w:tcBorders>
            <w:vAlign w:val="bottom"/>
          </w:tcPr>
          <w:p w:rsidR="00FB529E" w:rsidRPr="0013263C" w:rsidRDefault="00FB529E" w:rsidP="00806C87">
            <w:pPr>
              <w:tabs>
                <w:tab w:val="left" w:pos="960"/>
              </w:tabs>
              <w:jc w:val="center"/>
              <w:rPr>
                <w:rFonts w:ascii="Cambria" w:hAnsi="Cambria"/>
                <w:b/>
                <w:sz w:val="18"/>
                <w:szCs w:val="18"/>
              </w:rPr>
            </w:pPr>
            <w:r>
              <w:rPr>
                <w:rFonts w:ascii="Cambria" w:hAnsi="Cambria"/>
                <w:b/>
                <w:sz w:val="18"/>
                <w:szCs w:val="18"/>
              </w:rPr>
              <w:t>Reduction 2014 v 2013</w:t>
            </w:r>
          </w:p>
        </w:tc>
      </w:tr>
      <w:tr w:rsidR="00FB529E" w:rsidRPr="006D7219" w:rsidTr="00806C87">
        <w:trPr>
          <w:trHeight w:val="628"/>
        </w:trPr>
        <w:tc>
          <w:tcPr>
            <w:tcW w:w="2127" w:type="dxa"/>
            <w:tcBorders>
              <w:top w:val="single" w:sz="18" w:space="0" w:color="17365D"/>
            </w:tcBorders>
            <w:shd w:val="clear" w:color="auto" w:fill="auto"/>
            <w:vAlign w:val="center"/>
          </w:tcPr>
          <w:p w:rsidR="00FB529E" w:rsidRPr="006D7219" w:rsidRDefault="00FB529E" w:rsidP="00806C87">
            <w:pPr>
              <w:keepNext/>
              <w:jc w:val="center"/>
              <w:rPr>
                <w:sz w:val="16"/>
                <w:szCs w:val="16"/>
                <w:lang w:val="en-GB"/>
              </w:rPr>
            </w:pPr>
            <w:r w:rsidRPr="006D7219">
              <w:rPr>
                <w:sz w:val="16"/>
                <w:szCs w:val="16"/>
                <w:lang w:val="en-GB"/>
              </w:rPr>
              <w:t>352,772</w:t>
            </w:r>
          </w:p>
        </w:tc>
        <w:tc>
          <w:tcPr>
            <w:tcW w:w="1701" w:type="dxa"/>
            <w:tcBorders>
              <w:top w:val="single" w:sz="18" w:space="0" w:color="17365D"/>
              <w:right w:val="single" w:sz="18" w:space="0" w:color="17365D"/>
            </w:tcBorders>
            <w:shd w:val="clear" w:color="auto" w:fill="auto"/>
            <w:vAlign w:val="center"/>
          </w:tcPr>
          <w:p w:rsidR="00FB529E" w:rsidRPr="006D7219" w:rsidRDefault="00FB529E" w:rsidP="00806C87">
            <w:pPr>
              <w:keepNext/>
              <w:jc w:val="center"/>
              <w:rPr>
                <w:sz w:val="16"/>
                <w:szCs w:val="16"/>
                <w:lang w:val="en-GB"/>
              </w:rPr>
            </w:pPr>
            <w:r w:rsidRPr="006D7219">
              <w:rPr>
                <w:sz w:val="16"/>
                <w:szCs w:val="16"/>
                <w:lang w:val="en-GB"/>
              </w:rPr>
              <w:t>-1.3%</w:t>
            </w:r>
          </w:p>
        </w:tc>
        <w:tc>
          <w:tcPr>
            <w:tcW w:w="2268" w:type="dxa"/>
            <w:tcBorders>
              <w:top w:val="single" w:sz="18" w:space="0" w:color="17365D"/>
              <w:left w:val="single" w:sz="18" w:space="0" w:color="17365D"/>
              <w:right w:val="single" w:sz="2" w:space="0" w:color="17365D"/>
            </w:tcBorders>
            <w:vAlign w:val="center"/>
          </w:tcPr>
          <w:p w:rsidR="00FB529E" w:rsidRPr="006D7219" w:rsidRDefault="00FB529E" w:rsidP="00806C87">
            <w:pPr>
              <w:keepNext/>
              <w:jc w:val="center"/>
              <w:rPr>
                <w:sz w:val="16"/>
                <w:szCs w:val="16"/>
                <w:lang w:val="en-GB"/>
              </w:rPr>
            </w:pPr>
            <w:r w:rsidRPr="006D7219">
              <w:rPr>
                <w:sz w:val="16"/>
                <w:szCs w:val="16"/>
                <w:lang w:val="en-GB"/>
              </w:rPr>
              <w:t>340,272</w:t>
            </w:r>
          </w:p>
        </w:tc>
        <w:tc>
          <w:tcPr>
            <w:tcW w:w="2268" w:type="dxa"/>
            <w:tcBorders>
              <w:top w:val="single" w:sz="18" w:space="0" w:color="17365D"/>
              <w:left w:val="single" w:sz="2" w:space="0" w:color="17365D"/>
              <w:right w:val="single" w:sz="2" w:space="0" w:color="17365D"/>
            </w:tcBorders>
            <w:vAlign w:val="center"/>
          </w:tcPr>
          <w:p w:rsidR="00FB529E" w:rsidRPr="006D7219" w:rsidRDefault="00FB529E" w:rsidP="00806C87">
            <w:pPr>
              <w:jc w:val="center"/>
              <w:rPr>
                <w:sz w:val="16"/>
                <w:szCs w:val="16"/>
                <w:lang w:val="en-GB"/>
              </w:rPr>
            </w:pPr>
            <w:r w:rsidRPr="006D7219">
              <w:rPr>
                <w:sz w:val="16"/>
                <w:szCs w:val="16"/>
                <w:lang w:val="en-GB"/>
              </w:rPr>
              <w:t>-3.5%</w:t>
            </w:r>
          </w:p>
        </w:tc>
      </w:tr>
    </w:tbl>
    <w:p w:rsidR="00FB529E" w:rsidRPr="00C61041" w:rsidRDefault="00FB529E" w:rsidP="003D1901">
      <w:pPr>
        <w:pStyle w:val="ListParagraph"/>
        <w:ind w:left="0"/>
        <w:rPr>
          <w:i/>
          <w:sz w:val="20"/>
          <w:szCs w:val="20"/>
        </w:rPr>
      </w:pPr>
      <w:r w:rsidRPr="00484024">
        <w:rPr>
          <w:i/>
          <w:sz w:val="20"/>
          <w:szCs w:val="20"/>
        </w:rPr>
        <w:t>Source:  HSE Performance Reports</w:t>
      </w:r>
      <w:r>
        <w:rPr>
          <w:i/>
          <w:sz w:val="20"/>
          <w:szCs w:val="20"/>
        </w:rPr>
        <w:t xml:space="preserve"> May 2013 &amp; May 2014</w:t>
      </w:r>
    </w:p>
    <w:p w:rsidR="00FB529E" w:rsidRPr="00892B40" w:rsidRDefault="00FB529E" w:rsidP="00892B40">
      <w:pPr>
        <w:tabs>
          <w:tab w:val="left" w:pos="426"/>
        </w:tabs>
        <w:ind w:left="426"/>
        <w:rPr>
          <w:rFonts w:ascii="Cambria" w:hAnsi="Cambria"/>
          <w:i/>
          <w:sz w:val="20"/>
          <w:szCs w:val="20"/>
        </w:rPr>
      </w:pPr>
    </w:p>
    <w:p w:rsidR="00FB529E" w:rsidRPr="00264FA2" w:rsidRDefault="00FB529E" w:rsidP="00FB529E">
      <w:pPr>
        <w:numPr>
          <w:ilvl w:val="1"/>
          <w:numId w:val="8"/>
        </w:numPr>
        <w:ind w:left="0"/>
        <w:jc w:val="both"/>
        <w:rPr>
          <w:sz w:val="20"/>
          <w:szCs w:val="20"/>
        </w:rPr>
      </w:pPr>
      <w:r w:rsidRPr="00264FA2">
        <w:rPr>
          <w:sz w:val="20"/>
          <w:szCs w:val="20"/>
        </w:rPr>
        <w:t>Key trends:</w:t>
      </w:r>
    </w:p>
    <w:p w:rsidR="00FB529E" w:rsidRDefault="00FB529E" w:rsidP="00FB529E">
      <w:pPr>
        <w:numPr>
          <w:ilvl w:val="0"/>
          <w:numId w:val="4"/>
        </w:numPr>
        <w:ind w:left="284"/>
        <w:jc w:val="both"/>
        <w:rPr>
          <w:sz w:val="20"/>
          <w:szCs w:val="20"/>
        </w:rPr>
      </w:pPr>
      <w:r>
        <w:rPr>
          <w:b/>
          <w:sz w:val="20"/>
          <w:szCs w:val="20"/>
        </w:rPr>
        <w:t>The number of i</w:t>
      </w:r>
      <w:r w:rsidRPr="00DD39FD">
        <w:rPr>
          <w:b/>
          <w:sz w:val="20"/>
          <w:szCs w:val="20"/>
        </w:rPr>
        <w:t>npatient</w:t>
      </w:r>
      <w:r>
        <w:rPr>
          <w:b/>
          <w:sz w:val="20"/>
          <w:szCs w:val="20"/>
        </w:rPr>
        <w:t>s</w:t>
      </w:r>
      <w:r w:rsidRPr="00DD39FD">
        <w:rPr>
          <w:b/>
          <w:sz w:val="20"/>
          <w:szCs w:val="20"/>
        </w:rPr>
        <w:t xml:space="preserve"> </w:t>
      </w:r>
      <w:r>
        <w:rPr>
          <w:b/>
          <w:sz w:val="20"/>
          <w:szCs w:val="20"/>
        </w:rPr>
        <w:t>treated</w:t>
      </w:r>
      <w:r w:rsidRPr="00DD39FD">
        <w:rPr>
          <w:sz w:val="20"/>
          <w:szCs w:val="20"/>
        </w:rPr>
        <w:t xml:space="preserve"> </w:t>
      </w:r>
      <w:r>
        <w:rPr>
          <w:sz w:val="20"/>
          <w:szCs w:val="20"/>
        </w:rPr>
        <w:t>has returned to the levels of 2009.</w:t>
      </w:r>
    </w:p>
    <w:p w:rsidR="00FB529E" w:rsidRDefault="00FB529E" w:rsidP="00B31D3A">
      <w:pPr>
        <w:ind w:left="284"/>
        <w:rPr>
          <w:sz w:val="20"/>
          <w:szCs w:val="20"/>
        </w:rPr>
      </w:pPr>
      <w:r w:rsidRPr="00102F1C">
        <w:rPr>
          <w:sz w:val="20"/>
          <w:szCs w:val="20"/>
        </w:rPr>
        <w:lastRenderedPageBreak/>
        <w:t>Targets for inpatient care have been consistently set below the actual level of demand</w:t>
      </w:r>
      <w:r>
        <w:rPr>
          <w:sz w:val="20"/>
          <w:szCs w:val="20"/>
        </w:rPr>
        <w:t xml:space="preserve"> as</w:t>
      </w:r>
      <w:r w:rsidRPr="00102F1C">
        <w:rPr>
          <w:sz w:val="20"/>
          <w:szCs w:val="20"/>
        </w:rPr>
        <w:t xml:space="preserve"> has</w:t>
      </w:r>
      <w:r>
        <w:rPr>
          <w:sz w:val="20"/>
          <w:szCs w:val="20"/>
        </w:rPr>
        <w:t xml:space="preserve"> </w:t>
      </w:r>
      <w:r w:rsidRPr="00102F1C">
        <w:rPr>
          <w:sz w:val="20"/>
          <w:szCs w:val="20"/>
        </w:rPr>
        <w:t>funding for</w:t>
      </w:r>
      <w:r>
        <w:rPr>
          <w:sz w:val="20"/>
          <w:szCs w:val="20"/>
        </w:rPr>
        <w:t xml:space="preserve"> the service</w:t>
      </w:r>
      <w:r w:rsidRPr="00102F1C">
        <w:rPr>
          <w:sz w:val="20"/>
          <w:szCs w:val="20"/>
        </w:rPr>
        <w:t xml:space="preserve">. </w:t>
      </w:r>
      <w:r>
        <w:rPr>
          <w:sz w:val="20"/>
          <w:szCs w:val="20"/>
        </w:rPr>
        <w:t xml:space="preserve">The target for 2014 (591,699) is not a true reflection of the level of demand for inpatient care taking account of the demand levels in the last 7 years and allowing for demographic and health insurance developments. The reported actual number of inpatients treated up to May equaled 248,649, 0.2% above the NSP target and similar to the same period last year.  </w:t>
      </w:r>
    </w:p>
    <w:p w:rsidR="00FB529E" w:rsidRPr="00102F1C" w:rsidRDefault="00FB529E" w:rsidP="00B31D3A">
      <w:pPr>
        <w:rPr>
          <w:sz w:val="20"/>
          <w:szCs w:val="20"/>
        </w:rPr>
      </w:pPr>
    </w:p>
    <w:p w:rsidR="00FB529E" w:rsidRPr="00102F1C" w:rsidRDefault="00FB529E" w:rsidP="00FB529E">
      <w:pPr>
        <w:pStyle w:val="ListParagraph"/>
        <w:numPr>
          <w:ilvl w:val="0"/>
          <w:numId w:val="3"/>
        </w:numPr>
        <w:ind w:left="284"/>
        <w:jc w:val="both"/>
        <w:rPr>
          <w:sz w:val="20"/>
          <w:szCs w:val="20"/>
          <w:lang w:val="en-GB"/>
        </w:rPr>
      </w:pPr>
      <w:r w:rsidRPr="00102F1C">
        <w:rPr>
          <w:b/>
          <w:sz w:val="20"/>
          <w:szCs w:val="20"/>
        </w:rPr>
        <w:t>Day-case</w:t>
      </w:r>
      <w:r>
        <w:rPr>
          <w:b/>
          <w:sz w:val="20"/>
          <w:szCs w:val="20"/>
        </w:rPr>
        <w:t xml:space="preserve"> patients treated</w:t>
      </w:r>
      <w:r>
        <w:rPr>
          <w:sz w:val="20"/>
          <w:szCs w:val="20"/>
        </w:rPr>
        <w:t xml:space="preserve"> in 2013</w:t>
      </w:r>
      <w:r w:rsidRPr="00102F1C">
        <w:rPr>
          <w:sz w:val="20"/>
          <w:szCs w:val="20"/>
        </w:rPr>
        <w:t xml:space="preserve"> was</w:t>
      </w:r>
      <w:r>
        <w:rPr>
          <w:sz w:val="20"/>
          <w:szCs w:val="20"/>
        </w:rPr>
        <w:t xml:space="preserve"> 42% or </w:t>
      </w:r>
      <w:r w:rsidRPr="00102F1C">
        <w:rPr>
          <w:sz w:val="20"/>
          <w:szCs w:val="20"/>
        </w:rPr>
        <w:t>2</w:t>
      </w:r>
      <w:r>
        <w:rPr>
          <w:sz w:val="20"/>
          <w:szCs w:val="20"/>
        </w:rPr>
        <w:t>46,117</w:t>
      </w:r>
      <w:r w:rsidRPr="00102F1C">
        <w:rPr>
          <w:sz w:val="20"/>
          <w:szCs w:val="20"/>
        </w:rPr>
        <w:t xml:space="preserve"> higher than in 2007.</w:t>
      </w:r>
    </w:p>
    <w:p w:rsidR="00FB529E" w:rsidRPr="00622B1F" w:rsidRDefault="00FB529E" w:rsidP="00622B1F">
      <w:pPr>
        <w:pStyle w:val="ListParagraph"/>
        <w:ind w:left="284"/>
        <w:rPr>
          <w:sz w:val="20"/>
          <w:szCs w:val="20"/>
        </w:rPr>
      </w:pPr>
      <w:r>
        <w:rPr>
          <w:sz w:val="20"/>
          <w:szCs w:val="20"/>
        </w:rPr>
        <w:t>However, in the first 5</w:t>
      </w:r>
      <w:r w:rsidRPr="00102F1C">
        <w:rPr>
          <w:sz w:val="20"/>
          <w:szCs w:val="20"/>
        </w:rPr>
        <w:t xml:space="preserve"> months of this year, </w:t>
      </w:r>
      <w:r>
        <w:rPr>
          <w:sz w:val="20"/>
          <w:szCs w:val="20"/>
        </w:rPr>
        <w:t>12,500 (-3.5</w:t>
      </w:r>
      <w:r w:rsidRPr="00102F1C">
        <w:rPr>
          <w:sz w:val="20"/>
          <w:szCs w:val="20"/>
        </w:rPr>
        <w:t xml:space="preserve">%) fewer day-case patients were treated than in the same period </w:t>
      </w:r>
      <w:r>
        <w:rPr>
          <w:sz w:val="20"/>
          <w:szCs w:val="20"/>
        </w:rPr>
        <w:t>last year</w:t>
      </w:r>
      <w:r w:rsidRPr="00102F1C">
        <w:rPr>
          <w:sz w:val="20"/>
          <w:szCs w:val="20"/>
        </w:rPr>
        <w:t>.</w:t>
      </w:r>
      <w:r>
        <w:rPr>
          <w:sz w:val="20"/>
          <w:szCs w:val="20"/>
        </w:rPr>
        <w:t xml:space="preserve">  This has given rise to an increase i</w:t>
      </w:r>
      <w:r w:rsidRPr="00102F1C">
        <w:rPr>
          <w:sz w:val="20"/>
          <w:szCs w:val="20"/>
        </w:rPr>
        <w:t>n elective waiting lists</w:t>
      </w:r>
      <w:r>
        <w:rPr>
          <w:sz w:val="20"/>
          <w:szCs w:val="20"/>
        </w:rPr>
        <w:t xml:space="preserve"> (see section 4.3)</w:t>
      </w:r>
      <w:r w:rsidRPr="00102F1C">
        <w:rPr>
          <w:sz w:val="20"/>
          <w:szCs w:val="20"/>
        </w:rPr>
        <w:t>.</w:t>
      </w:r>
    </w:p>
    <w:p w:rsidR="00FB529E" w:rsidRPr="00102F1C" w:rsidRDefault="00FB529E" w:rsidP="00261B11">
      <w:pPr>
        <w:pStyle w:val="ListParagraph"/>
        <w:ind w:left="709"/>
        <w:rPr>
          <w:sz w:val="20"/>
          <w:szCs w:val="20"/>
          <w:lang w:val="en-GB"/>
        </w:rPr>
      </w:pPr>
    </w:p>
    <w:p w:rsidR="00FB529E" w:rsidRPr="00102F1C" w:rsidRDefault="00FB529E" w:rsidP="00FB529E">
      <w:pPr>
        <w:pStyle w:val="ListParagraph"/>
        <w:numPr>
          <w:ilvl w:val="0"/>
          <w:numId w:val="3"/>
        </w:numPr>
        <w:ind w:left="284"/>
        <w:jc w:val="both"/>
        <w:rPr>
          <w:sz w:val="20"/>
          <w:szCs w:val="20"/>
          <w:lang w:val="en-GB"/>
        </w:rPr>
      </w:pPr>
      <w:r w:rsidRPr="00102F1C">
        <w:rPr>
          <w:b/>
          <w:sz w:val="20"/>
          <w:szCs w:val="20"/>
          <w:lang w:val="en-GB"/>
        </w:rPr>
        <w:t xml:space="preserve">Emergency </w:t>
      </w:r>
      <w:r>
        <w:rPr>
          <w:b/>
          <w:sz w:val="20"/>
          <w:szCs w:val="20"/>
          <w:lang w:val="en-GB"/>
        </w:rPr>
        <w:t>presentations</w:t>
      </w:r>
      <w:r>
        <w:rPr>
          <w:sz w:val="20"/>
          <w:szCs w:val="20"/>
          <w:lang w:val="en-GB"/>
        </w:rPr>
        <w:t xml:space="preserve"> were 91,416</w:t>
      </w:r>
      <w:r w:rsidRPr="00102F1C">
        <w:rPr>
          <w:sz w:val="20"/>
          <w:szCs w:val="20"/>
          <w:lang w:val="en-GB"/>
        </w:rPr>
        <w:t xml:space="preserve"> (+</w:t>
      </w:r>
      <w:r>
        <w:rPr>
          <w:sz w:val="20"/>
          <w:szCs w:val="20"/>
          <w:lang w:val="en-GB"/>
        </w:rPr>
        <w:t>7.7</w:t>
      </w:r>
      <w:r w:rsidRPr="00102F1C">
        <w:rPr>
          <w:sz w:val="20"/>
          <w:szCs w:val="20"/>
          <w:lang w:val="en-GB"/>
        </w:rPr>
        <w:t xml:space="preserve">%) higher last year </w:t>
      </w:r>
      <w:r>
        <w:rPr>
          <w:sz w:val="20"/>
          <w:szCs w:val="20"/>
          <w:lang w:val="en-GB"/>
        </w:rPr>
        <w:t>than 2007</w:t>
      </w:r>
      <w:r w:rsidRPr="00102F1C">
        <w:rPr>
          <w:sz w:val="20"/>
          <w:szCs w:val="20"/>
          <w:lang w:val="en-GB"/>
        </w:rPr>
        <w:t>.</w:t>
      </w:r>
    </w:p>
    <w:p w:rsidR="00FB529E" w:rsidRDefault="00FB529E" w:rsidP="00A7756B">
      <w:pPr>
        <w:pStyle w:val="ListParagraph"/>
        <w:ind w:left="284"/>
        <w:rPr>
          <w:sz w:val="20"/>
          <w:szCs w:val="20"/>
          <w:lang w:val="en-GB"/>
        </w:rPr>
      </w:pPr>
      <w:r>
        <w:rPr>
          <w:sz w:val="20"/>
          <w:szCs w:val="20"/>
          <w:lang w:val="en-GB"/>
        </w:rPr>
        <w:t>This substantial increase in the level of emergency presentations arises at a time when the funding for acute hospitals has been cut severely.</w:t>
      </w:r>
      <w:r w:rsidRPr="00102F1C">
        <w:rPr>
          <w:sz w:val="20"/>
          <w:szCs w:val="20"/>
          <w:lang w:val="en-GB"/>
        </w:rPr>
        <w:t xml:space="preserve"> </w:t>
      </w:r>
      <w:r>
        <w:rPr>
          <w:sz w:val="20"/>
          <w:szCs w:val="20"/>
          <w:lang w:val="en-GB"/>
        </w:rPr>
        <w:t>The increase is due to a number of factors, including the following:</w:t>
      </w:r>
    </w:p>
    <w:p w:rsidR="00FB529E" w:rsidRDefault="00FB529E" w:rsidP="00A7756B">
      <w:pPr>
        <w:pStyle w:val="ListParagraph"/>
        <w:ind w:left="284"/>
        <w:rPr>
          <w:sz w:val="20"/>
          <w:szCs w:val="20"/>
          <w:lang w:val="en-GB"/>
        </w:rPr>
      </w:pPr>
    </w:p>
    <w:p w:rsidR="00FB529E" w:rsidRDefault="00FB529E" w:rsidP="00FB529E">
      <w:pPr>
        <w:pStyle w:val="ListParagraph"/>
        <w:numPr>
          <w:ilvl w:val="0"/>
          <w:numId w:val="3"/>
        </w:numPr>
        <w:jc w:val="both"/>
        <w:rPr>
          <w:sz w:val="20"/>
          <w:szCs w:val="20"/>
          <w:lang w:val="en-GB"/>
        </w:rPr>
      </w:pPr>
      <w:r>
        <w:rPr>
          <w:sz w:val="20"/>
          <w:szCs w:val="20"/>
          <w:lang w:val="en-GB"/>
        </w:rPr>
        <w:t>A general increase in demand for healthcare services due to the fact that Ireland has a growing and ageing population.</w:t>
      </w:r>
    </w:p>
    <w:p w:rsidR="00FB529E" w:rsidRPr="003D1901" w:rsidRDefault="00FB529E" w:rsidP="00FB529E">
      <w:pPr>
        <w:pStyle w:val="ListParagraph"/>
        <w:numPr>
          <w:ilvl w:val="0"/>
          <w:numId w:val="3"/>
        </w:numPr>
        <w:jc w:val="both"/>
        <w:rPr>
          <w:sz w:val="20"/>
          <w:szCs w:val="20"/>
          <w:lang w:val="en-GB"/>
        </w:rPr>
      </w:pPr>
      <w:r>
        <w:rPr>
          <w:sz w:val="20"/>
          <w:szCs w:val="20"/>
          <w:lang w:val="en-GB"/>
        </w:rPr>
        <w:t>The decline in the number of people covered by private health insurance.</w:t>
      </w:r>
    </w:p>
    <w:p w:rsidR="00FB529E" w:rsidRDefault="00FB529E" w:rsidP="00FB529E">
      <w:pPr>
        <w:pStyle w:val="ListParagraph"/>
        <w:numPr>
          <w:ilvl w:val="0"/>
          <w:numId w:val="3"/>
        </w:numPr>
        <w:jc w:val="both"/>
        <w:rPr>
          <w:sz w:val="20"/>
          <w:szCs w:val="20"/>
          <w:lang w:val="en-GB"/>
        </w:rPr>
      </w:pPr>
      <w:r>
        <w:rPr>
          <w:sz w:val="20"/>
          <w:szCs w:val="20"/>
          <w:lang w:val="en-GB"/>
        </w:rPr>
        <w:t>Delays in elective treatment resulting in poorer patient health leading to increased presentations in emergency departments.</w:t>
      </w:r>
    </w:p>
    <w:p w:rsidR="00FB529E" w:rsidRPr="00102F1C" w:rsidRDefault="00FB529E" w:rsidP="00C044DC">
      <w:pPr>
        <w:tabs>
          <w:tab w:val="left" w:pos="960"/>
        </w:tabs>
        <w:rPr>
          <w:sz w:val="20"/>
          <w:szCs w:val="20"/>
        </w:rPr>
      </w:pPr>
    </w:p>
    <w:p w:rsidR="00FB529E" w:rsidRDefault="00FB529E" w:rsidP="009A5739">
      <w:pPr>
        <w:pStyle w:val="ListParagraph"/>
        <w:shd w:val="clear" w:color="auto" w:fill="EEECE1"/>
        <w:ind w:left="-142"/>
        <w:rPr>
          <w:b/>
          <w:sz w:val="20"/>
          <w:szCs w:val="20"/>
        </w:rPr>
      </w:pPr>
      <w:r w:rsidRPr="00102F1C">
        <w:rPr>
          <w:b/>
          <w:sz w:val="20"/>
          <w:szCs w:val="20"/>
        </w:rPr>
        <w:t>IHCA Submission:</w:t>
      </w:r>
    </w:p>
    <w:p w:rsidR="00FB529E" w:rsidRPr="006D7219" w:rsidRDefault="00FB529E" w:rsidP="009A5739">
      <w:pPr>
        <w:pStyle w:val="ListParagraph"/>
        <w:shd w:val="clear" w:color="auto" w:fill="EEECE1"/>
        <w:ind w:left="-142"/>
        <w:rPr>
          <w:sz w:val="20"/>
          <w:szCs w:val="20"/>
        </w:rPr>
      </w:pPr>
      <w:r w:rsidRPr="006D7219">
        <w:rPr>
          <w:sz w:val="20"/>
          <w:szCs w:val="20"/>
        </w:rPr>
        <w:t>The successive reductions in acute hospital budgets have restricted the delivery of acute services over the last number of years. The number of day case patients treated up to May 2014 ha</w:t>
      </w:r>
      <w:r>
        <w:rPr>
          <w:sz w:val="20"/>
          <w:szCs w:val="20"/>
        </w:rPr>
        <w:t>s declined</w:t>
      </w:r>
      <w:r w:rsidRPr="006D7219">
        <w:rPr>
          <w:sz w:val="20"/>
          <w:szCs w:val="20"/>
        </w:rPr>
        <w:t xml:space="preserve"> by 12,500 or 3.5% due to the rationing of care. Increased funding for acute hospitals is required to address the constraints applying to acute service delivery.</w:t>
      </w:r>
    </w:p>
    <w:p w:rsidR="00FB529E" w:rsidRPr="00102F1C" w:rsidRDefault="00FB529E" w:rsidP="00102F1C">
      <w:pPr>
        <w:rPr>
          <w:sz w:val="20"/>
          <w:szCs w:val="20"/>
        </w:rPr>
      </w:pPr>
    </w:p>
    <w:p w:rsidR="00FB529E" w:rsidRPr="00102F1C" w:rsidRDefault="00FB529E" w:rsidP="00602E23">
      <w:pPr>
        <w:pStyle w:val="Style3"/>
      </w:pPr>
      <w:bookmarkStart w:id="12" w:name="_Toc393724541"/>
      <w:bookmarkStart w:id="13" w:name="_Toc393875682"/>
      <w:r w:rsidRPr="00102F1C">
        <w:t>Waiting List</w:t>
      </w:r>
      <w:r>
        <w:t>s.</w:t>
      </w:r>
      <w:bookmarkEnd w:id="12"/>
      <w:bookmarkEnd w:id="13"/>
    </w:p>
    <w:p w:rsidR="00FB529E" w:rsidRPr="00264FA2" w:rsidRDefault="00FB529E" w:rsidP="00FB529E">
      <w:pPr>
        <w:pStyle w:val="ListParagraph"/>
        <w:numPr>
          <w:ilvl w:val="0"/>
          <w:numId w:val="8"/>
        </w:numPr>
        <w:jc w:val="both"/>
        <w:rPr>
          <w:vanish/>
          <w:color w:val="FFFFFF"/>
          <w:sz w:val="20"/>
          <w:szCs w:val="20"/>
          <w:lang w:val="en-GB"/>
        </w:rPr>
      </w:pPr>
    </w:p>
    <w:p w:rsidR="00FB529E" w:rsidRPr="00A11BC1" w:rsidRDefault="00FB529E" w:rsidP="00FB529E">
      <w:pPr>
        <w:pStyle w:val="ListParagraph"/>
        <w:numPr>
          <w:ilvl w:val="1"/>
          <w:numId w:val="8"/>
        </w:numPr>
        <w:ind w:left="0"/>
        <w:jc w:val="both"/>
        <w:rPr>
          <w:sz w:val="20"/>
          <w:szCs w:val="20"/>
        </w:rPr>
      </w:pPr>
      <w:r w:rsidRPr="00102F1C">
        <w:rPr>
          <w:sz w:val="20"/>
          <w:szCs w:val="20"/>
          <w:lang w:val="en-GB"/>
        </w:rPr>
        <w:t>The capacity of hospitals to reduce waiting lists is</w:t>
      </w:r>
      <w:r>
        <w:rPr>
          <w:sz w:val="20"/>
          <w:szCs w:val="20"/>
          <w:lang w:val="en-GB"/>
        </w:rPr>
        <w:t xml:space="preserve"> constrained due to the lack of frontline resources, especially the failure of the acute hospitals to attract and recruit the required number of hospital Consultants </w:t>
      </w:r>
      <w:r w:rsidRPr="00102F1C">
        <w:rPr>
          <w:sz w:val="20"/>
          <w:szCs w:val="20"/>
          <w:lang w:val="en-GB"/>
        </w:rPr>
        <w:t>and</w:t>
      </w:r>
      <w:r>
        <w:rPr>
          <w:sz w:val="20"/>
          <w:szCs w:val="20"/>
          <w:lang w:val="en-GB"/>
        </w:rPr>
        <w:t xml:space="preserve"> maintain sufficient </w:t>
      </w:r>
      <w:r w:rsidRPr="00102F1C">
        <w:rPr>
          <w:sz w:val="20"/>
          <w:szCs w:val="20"/>
          <w:lang w:val="en-GB"/>
        </w:rPr>
        <w:t xml:space="preserve">frontline staffing levels. </w:t>
      </w:r>
      <w:r>
        <w:rPr>
          <w:sz w:val="20"/>
          <w:szCs w:val="20"/>
          <w:lang w:val="en-GB"/>
        </w:rPr>
        <w:t xml:space="preserve"> </w:t>
      </w:r>
    </w:p>
    <w:p w:rsidR="00FB529E" w:rsidRPr="00A11BC1" w:rsidRDefault="00FB529E" w:rsidP="00A11BC1">
      <w:pPr>
        <w:pStyle w:val="ListParagraph"/>
        <w:ind w:left="0"/>
        <w:rPr>
          <w:sz w:val="20"/>
          <w:szCs w:val="20"/>
        </w:rPr>
      </w:pPr>
    </w:p>
    <w:p w:rsidR="00FB529E" w:rsidRDefault="00FB529E" w:rsidP="00FB529E">
      <w:pPr>
        <w:pStyle w:val="ListParagraph"/>
        <w:numPr>
          <w:ilvl w:val="1"/>
          <w:numId w:val="8"/>
        </w:numPr>
        <w:ind w:left="0"/>
        <w:jc w:val="both"/>
        <w:rPr>
          <w:sz w:val="20"/>
          <w:szCs w:val="20"/>
        </w:rPr>
      </w:pPr>
      <w:r>
        <w:rPr>
          <w:sz w:val="20"/>
          <w:szCs w:val="20"/>
        </w:rPr>
        <w:t>The HSE plans</w:t>
      </w:r>
      <w:r w:rsidRPr="00A11BC1">
        <w:rPr>
          <w:sz w:val="20"/>
          <w:szCs w:val="20"/>
        </w:rPr>
        <w:t xml:space="preserve"> to reduce its workforce to approximately 98,000 whole time equivalents (WTE’s)</w:t>
      </w:r>
      <w:r>
        <w:rPr>
          <w:sz w:val="20"/>
          <w:szCs w:val="20"/>
        </w:rPr>
        <w:t xml:space="preserve"> by the end of</w:t>
      </w:r>
      <w:r w:rsidRPr="00A11BC1">
        <w:rPr>
          <w:sz w:val="20"/>
          <w:szCs w:val="20"/>
        </w:rPr>
        <w:t xml:space="preserve"> 2014. This is a net reduction of 2,600 WTEs</w:t>
      </w:r>
      <w:r>
        <w:rPr>
          <w:sz w:val="20"/>
          <w:szCs w:val="20"/>
        </w:rPr>
        <w:t xml:space="preserve"> in 2014 </w:t>
      </w:r>
      <w:r w:rsidRPr="00A11BC1">
        <w:rPr>
          <w:sz w:val="20"/>
          <w:szCs w:val="20"/>
        </w:rPr>
        <w:t xml:space="preserve">on top of </w:t>
      </w:r>
      <w:r>
        <w:rPr>
          <w:sz w:val="20"/>
          <w:szCs w:val="20"/>
        </w:rPr>
        <w:t>the reduction of 15,754</w:t>
      </w:r>
      <w:r w:rsidRPr="00A11BC1">
        <w:rPr>
          <w:sz w:val="20"/>
          <w:szCs w:val="20"/>
        </w:rPr>
        <w:t xml:space="preserve"> </w:t>
      </w:r>
      <w:r>
        <w:rPr>
          <w:sz w:val="20"/>
          <w:szCs w:val="20"/>
        </w:rPr>
        <w:t>since 2007</w:t>
      </w:r>
      <w:r w:rsidRPr="00A11BC1">
        <w:rPr>
          <w:sz w:val="20"/>
          <w:szCs w:val="20"/>
        </w:rPr>
        <w:t xml:space="preserve">. </w:t>
      </w:r>
      <w:r>
        <w:rPr>
          <w:sz w:val="20"/>
          <w:szCs w:val="20"/>
        </w:rPr>
        <w:t xml:space="preserve"> The</w:t>
      </w:r>
      <w:r w:rsidRPr="00A11BC1">
        <w:rPr>
          <w:sz w:val="20"/>
          <w:szCs w:val="20"/>
        </w:rPr>
        <w:t xml:space="preserve"> shortage</w:t>
      </w:r>
      <w:r>
        <w:rPr>
          <w:sz w:val="20"/>
          <w:szCs w:val="20"/>
        </w:rPr>
        <w:t xml:space="preserve"> of frontline staff in acute hospitals</w:t>
      </w:r>
      <w:r w:rsidRPr="00A11BC1">
        <w:rPr>
          <w:sz w:val="20"/>
          <w:szCs w:val="20"/>
        </w:rPr>
        <w:t xml:space="preserve"> is impacting</w:t>
      </w:r>
      <w:r>
        <w:rPr>
          <w:sz w:val="20"/>
          <w:szCs w:val="20"/>
        </w:rPr>
        <w:t xml:space="preserve"> negatively on the capacity </w:t>
      </w:r>
      <w:r w:rsidRPr="00A11BC1">
        <w:rPr>
          <w:sz w:val="20"/>
          <w:szCs w:val="20"/>
        </w:rPr>
        <w:t>to ef</w:t>
      </w:r>
      <w:r>
        <w:rPr>
          <w:sz w:val="20"/>
          <w:szCs w:val="20"/>
        </w:rPr>
        <w:t xml:space="preserve">fectively </w:t>
      </w:r>
      <w:r w:rsidRPr="00A11BC1">
        <w:rPr>
          <w:sz w:val="20"/>
          <w:szCs w:val="20"/>
        </w:rPr>
        <w:t>treat patients</w:t>
      </w:r>
      <w:r>
        <w:rPr>
          <w:sz w:val="20"/>
          <w:szCs w:val="20"/>
        </w:rPr>
        <w:t xml:space="preserve"> thereby</w:t>
      </w:r>
      <w:r w:rsidRPr="00A11BC1">
        <w:rPr>
          <w:sz w:val="20"/>
          <w:szCs w:val="20"/>
        </w:rPr>
        <w:t xml:space="preserve"> increasing waiting lists.  </w:t>
      </w:r>
    </w:p>
    <w:p w:rsidR="00FB529E" w:rsidRDefault="00FB529E" w:rsidP="00A11BC1">
      <w:pPr>
        <w:pStyle w:val="ListParagraph"/>
        <w:rPr>
          <w:sz w:val="20"/>
          <w:szCs w:val="20"/>
        </w:rPr>
      </w:pPr>
    </w:p>
    <w:p w:rsidR="00FB529E" w:rsidRPr="00A11BC1" w:rsidRDefault="00FB529E" w:rsidP="00FB529E">
      <w:pPr>
        <w:pStyle w:val="ListParagraph"/>
        <w:keepNext/>
        <w:numPr>
          <w:ilvl w:val="1"/>
          <w:numId w:val="8"/>
        </w:numPr>
        <w:ind w:left="0" w:hanging="357"/>
        <w:jc w:val="both"/>
        <w:rPr>
          <w:sz w:val="20"/>
          <w:szCs w:val="20"/>
        </w:rPr>
      </w:pPr>
      <w:r w:rsidRPr="00A11BC1">
        <w:rPr>
          <w:rFonts w:eastAsia="Times New Roman"/>
          <w:b/>
          <w:bCs/>
          <w:sz w:val="20"/>
          <w:szCs w:val="20"/>
        </w:rPr>
        <w:t>Inpatient &amp; Day-case Waiting Lists.</w:t>
      </w:r>
    </w:p>
    <w:p w:rsidR="00FB529E" w:rsidRPr="00102F1C" w:rsidRDefault="00FB529E" w:rsidP="003B3C97">
      <w:pPr>
        <w:keepNext/>
        <w:tabs>
          <w:tab w:val="left" w:pos="960"/>
        </w:tabs>
        <w:rPr>
          <w:sz w:val="20"/>
          <w:szCs w:val="20"/>
          <w:lang w:val="en-GB"/>
        </w:rPr>
      </w:pPr>
    </w:p>
    <w:p w:rsidR="00FB529E" w:rsidRDefault="00FB529E" w:rsidP="003B3C97">
      <w:pPr>
        <w:keepNext/>
        <w:rPr>
          <w:b/>
          <w:i/>
          <w:sz w:val="20"/>
          <w:szCs w:val="20"/>
        </w:rPr>
      </w:pPr>
      <w:r>
        <w:rPr>
          <w:sz w:val="20"/>
          <w:szCs w:val="20"/>
        </w:rPr>
        <w:t>T</w:t>
      </w:r>
      <w:r w:rsidRPr="008D2F8A">
        <w:rPr>
          <w:sz w:val="20"/>
          <w:szCs w:val="20"/>
        </w:rPr>
        <w:t>here</w:t>
      </w:r>
      <w:r>
        <w:rPr>
          <w:sz w:val="20"/>
          <w:szCs w:val="20"/>
        </w:rPr>
        <w:t xml:space="preserve"> we</w:t>
      </w:r>
      <w:r w:rsidRPr="008D2F8A">
        <w:rPr>
          <w:sz w:val="20"/>
          <w:szCs w:val="20"/>
        </w:rPr>
        <w:t xml:space="preserve">re </w:t>
      </w:r>
      <w:r>
        <w:rPr>
          <w:sz w:val="20"/>
          <w:szCs w:val="20"/>
        </w:rPr>
        <w:t>50,689 inpatient and day case patients awaiting care in May 2014 of which 4,649 were children. T</w:t>
      </w:r>
      <w:r w:rsidRPr="008C1C05">
        <w:rPr>
          <w:sz w:val="20"/>
          <w:szCs w:val="20"/>
        </w:rPr>
        <w:t>his is</w:t>
      </w:r>
      <w:r>
        <w:rPr>
          <w:sz w:val="20"/>
          <w:szCs w:val="20"/>
        </w:rPr>
        <w:t xml:space="preserve"> an increase of 5% compared with May 2013. </w:t>
      </w:r>
    </w:p>
    <w:p w:rsidR="00FB529E" w:rsidRDefault="00FB529E" w:rsidP="00102F1C">
      <w:pPr>
        <w:pStyle w:val="ListParagraph"/>
        <w:ind w:left="-993" w:firstLine="993"/>
        <w:rPr>
          <w:b/>
          <w:i/>
          <w:sz w:val="20"/>
          <w:szCs w:val="20"/>
        </w:rPr>
      </w:pPr>
    </w:p>
    <w:p w:rsidR="00FB529E" w:rsidRDefault="00FB529E" w:rsidP="00102F1C">
      <w:pPr>
        <w:pStyle w:val="ListParagraph"/>
        <w:ind w:left="-993" w:firstLine="993"/>
        <w:rPr>
          <w:b/>
          <w:i/>
          <w:sz w:val="20"/>
          <w:szCs w:val="20"/>
        </w:rPr>
      </w:pPr>
      <w:r>
        <w:rPr>
          <w:b/>
          <w:i/>
          <w:sz w:val="20"/>
          <w:szCs w:val="20"/>
        </w:rPr>
        <w:t>Table 4:</w:t>
      </w:r>
      <w:r w:rsidRPr="00C044DC">
        <w:rPr>
          <w:b/>
          <w:i/>
          <w:sz w:val="20"/>
          <w:szCs w:val="20"/>
        </w:rPr>
        <w:t xml:space="preserve"> Inpatient and </w:t>
      </w:r>
      <w:r>
        <w:rPr>
          <w:b/>
          <w:i/>
          <w:sz w:val="20"/>
          <w:szCs w:val="20"/>
        </w:rPr>
        <w:t>Day-case</w:t>
      </w:r>
      <w:r w:rsidRPr="00C044DC">
        <w:rPr>
          <w:b/>
          <w:i/>
          <w:sz w:val="20"/>
          <w:szCs w:val="20"/>
        </w:rPr>
        <w:t xml:space="preserve"> Ele</w:t>
      </w:r>
      <w:r>
        <w:rPr>
          <w:b/>
          <w:i/>
          <w:sz w:val="20"/>
          <w:szCs w:val="20"/>
        </w:rPr>
        <w:t>ctive Waiting Lists, 2013 – 2014</w:t>
      </w:r>
      <w:r w:rsidRPr="00C044DC">
        <w:rPr>
          <w:b/>
          <w:i/>
          <w:sz w:val="20"/>
          <w:szCs w:val="20"/>
        </w:rPr>
        <w:t xml:space="preserve"> </w:t>
      </w:r>
    </w:p>
    <w:tbl>
      <w:tblPr>
        <w:tblW w:w="7054"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Look w:val="04A0" w:firstRow="1" w:lastRow="0" w:firstColumn="1" w:lastColumn="0" w:noHBand="0" w:noVBand="1"/>
      </w:tblPr>
      <w:tblGrid>
        <w:gridCol w:w="1641"/>
        <w:gridCol w:w="1411"/>
        <w:gridCol w:w="1592"/>
        <w:gridCol w:w="2410"/>
      </w:tblGrid>
      <w:tr w:rsidR="00FB529E" w:rsidRPr="00FC515D" w:rsidTr="00417239">
        <w:trPr>
          <w:trHeight w:val="1023"/>
        </w:trPr>
        <w:tc>
          <w:tcPr>
            <w:tcW w:w="1641" w:type="dxa"/>
            <w:shd w:val="clear" w:color="auto" w:fill="B8CCE4"/>
            <w:vAlign w:val="bottom"/>
          </w:tcPr>
          <w:p w:rsidR="00FB529E" w:rsidRPr="008D2F8A" w:rsidRDefault="00FB529E" w:rsidP="00806C87">
            <w:pPr>
              <w:rPr>
                <w:rFonts w:ascii="Cambria" w:hAnsi="Cambria"/>
                <w:b/>
                <w:sz w:val="20"/>
                <w:szCs w:val="20"/>
                <w:lang w:val="en-GB"/>
              </w:rPr>
            </w:pPr>
            <w:r w:rsidRPr="008D2F8A">
              <w:rPr>
                <w:rFonts w:ascii="Cambria" w:hAnsi="Cambria"/>
                <w:b/>
                <w:sz w:val="20"/>
                <w:szCs w:val="20"/>
                <w:lang w:val="en-GB"/>
              </w:rPr>
              <w:t>Inpatient &amp; Day-case</w:t>
            </w:r>
            <w:r w:rsidRPr="008D2F8A">
              <w:rPr>
                <w:rFonts w:ascii="Cambria" w:hAnsi="Cambria"/>
                <w:b/>
                <w:sz w:val="20"/>
                <w:szCs w:val="20"/>
                <w:shd w:val="clear" w:color="auto" w:fill="B8CCE4"/>
                <w:lang w:val="en-GB"/>
              </w:rPr>
              <w:t xml:space="preserve"> </w:t>
            </w:r>
            <w:r w:rsidRPr="008D2F8A">
              <w:rPr>
                <w:rFonts w:ascii="Cambria" w:hAnsi="Cambria"/>
                <w:b/>
                <w:sz w:val="20"/>
                <w:szCs w:val="20"/>
                <w:lang w:val="en-GB"/>
              </w:rPr>
              <w:t>Elective</w:t>
            </w:r>
          </w:p>
          <w:p w:rsidR="00FB529E" w:rsidRDefault="00FB529E" w:rsidP="00806C87">
            <w:pPr>
              <w:rPr>
                <w:rFonts w:ascii="Cambria" w:hAnsi="Cambria"/>
                <w:b/>
                <w:sz w:val="20"/>
                <w:szCs w:val="20"/>
                <w:lang w:val="en-GB"/>
              </w:rPr>
            </w:pPr>
          </w:p>
          <w:p w:rsidR="00FB529E" w:rsidRPr="008D2F8A" w:rsidRDefault="00FB529E" w:rsidP="00806C87">
            <w:pPr>
              <w:rPr>
                <w:rFonts w:ascii="Cambria" w:hAnsi="Cambria"/>
                <w:b/>
                <w:sz w:val="20"/>
                <w:szCs w:val="20"/>
                <w:lang w:val="en-GB"/>
              </w:rPr>
            </w:pPr>
            <w:r w:rsidRPr="008D2F8A">
              <w:rPr>
                <w:rFonts w:ascii="Cambria" w:hAnsi="Cambria"/>
                <w:b/>
                <w:sz w:val="20"/>
                <w:szCs w:val="20"/>
                <w:lang w:val="en-GB"/>
              </w:rPr>
              <w:t xml:space="preserve">TOTAL </w:t>
            </w:r>
          </w:p>
        </w:tc>
        <w:tc>
          <w:tcPr>
            <w:tcW w:w="5413" w:type="dxa"/>
            <w:gridSpan w:val="3"/>
            <w:vAlign w:val="center"/>
          </w:tcPr>
          <w:p w:rsidR="00FB529E" w:rsidRPr="008D2F8A" w:rsidRDefault="00FB529E" w:rsidP="00806C87">
            <w:pPr>
              <w:jc w:val="center"/>
              <w:rPr>
                <w:rFonts w:ascii="Cambria" w:hAnsi="Cambria"/>
                <w:b/>
                <w:sz w:val="20"/>
                <w:szCs w:val="20"/>
                <w:lang w:val="en-GB"/>
              </w:rPr>
            </w:pPr>
            <w:r>
              <w:rPr>
                <w:rFonts w:ascii="Cambria" w:hAnsi="Cambria"/>
                <w:b/>
                <w:sz w:val="20"/>
                <w:szCs w:val="20"/>
                <w:lang w:val="en-GB"/>
              </w:rPr>
              <w:t>TOTAL WAITING  May 2013 – May 2014</w:t>
            </w:r>
          </w:p>
        </w:tc>
      </w:tr>
      <w:tr w:rsidR="00FB529E" w:rsidRPr="00FC515D" w:rsidTr="00417239">
        <w:trPr>
          <w:trHeight w:val="544"/>
        </w:trPr>
        <w:tc>
          <w:tcPr>
            <w:tcW w:w="1641" w:type="dxa"/>
            <w:vMerge w:val="restart"/>
            <w:shd w:val="clear" w:color="auto" w:fill="B8CCE4"/>
            <w:vAlign w:val="bottom"/>
          </w:tcPr>
          <w:p w:rsidR="00FB529E" w:rsidRPr="008D2F8A" w:rsidRDefault="00FB529E" w:rsidP="00806C87">
            <w:pPr>
              <w:rPr>
                <w:rFonts w:ascii="Cambria" w:hAnsi="Cambria"/>
                <w:sz w:val="20"/>
                <w:szCs w:val="20"/>
                <w:lang w:val="en-GB"/>
              </w:rPr>
            </w:pPr>
          </w:p>
        </w:tc>
        <w:tc>
          <w:tcPr>
            <w:tcW w:w="1411" w:type="dxa"/>
            <w:vAlign w:val="center"/>
          </w:tcPr>
          <w:p w:rsidR="00FB529E" w:rsidRPr="008D2F8A" w:rsidRDefault="00FB529E" w:rsidP="00806C87">
            <w:pPr>
              <w:jc w:val="right"/>
              <w:rPr>
                <w:rFonts w:ascii="Cambria" w:hAnsi="Cambria"/>
                <w:sz w:val="20"/>
                <w:szCs w:val="20"/>
                <w:lang w:val="en-GB"/>
              </w:rPr>
            </w:pPr>
            <w:r>
              <w:rPr>
                <w:rFonts w:ascii="Cambria" w:hAnsi="Cambria"/>
                <w:sz w:val="20"/>
                <w:szCs w:val="20"/>
                <w:lang w:val="en-GB"/>
              </w:rPr>
              <w:t>May</w:t>
            </w:r>
            <w:r w:rsidRPr="008D2F8A">
              <w:rPr>
                <w:rFonts w:ascii="Cambria" w:hAnsi="Cambria"/>
                <w:sz w:val="20"/>
                <w:szCs w:val="20"/>
                <w:lang w:val="en-GB"/>
              </w:rPr>
              <w:t xml:space="preserve"> 2013</w:t>
            </w:r>
          </w:p>
        </w:tc>
        <w:tc>
          <w:tcPr>
            <w:tcW w:w="1592" w:type="dxa"/>
            <w:vAlign w:val="center"/>
          </w:tcPr>
          <w:p w:rsidR="00FB529E" w:rsidRPr="008D2F8A" w:rsidRDefault="00FB529E" w:rsidP="00806C87">
            <w:pPr>
              <w:jc w:val="right"/>
              <w:rPr>
                <w:rFonts w:ascii="Cambria" w:hAnsi="Cambria"/>
                <w:sz w:val="20"/>
                <w:szCs w:val="20"/>
                <w:lang w:val="en-GB"/>
              </w:rPr>
            </w:pPr>
            <w:r>
              <w:rPr>
                <w:rFonts w:ascii="Cambria" w:hAnsi="Cambria"/>
                <w:sz w:val="20"/>
                <w:szCs w:val="20"/>
                <w:lang w:val="en-GB"/>
              </w:rPr>
              <w:t>May 2014</w:t>
            </w:r>
          </w:p>
        </w:tc>
        <w:tc>
          <w:tcPr>
            <w:tcW w:w="2410" w:type="dxa"/>
            <w:vAlign w:val="center"/>
          </w:tcPr>
          <w:p w:rsidR="00FB529E" w:rsidRDefault="00FB529E" w:rsidP="00806C87">
            <w:pPr>
              <w:jc w:val="right"/>
              <w:rPr>
                <w:rFonts w:ascii="Cambria" w:hAnsi="Cambria"/>
                <w:sz w:val="20"/>
                <w:szCs w:val="20"/>
                <w:lang w:val="en-GB"/>
              </w:rPr>
            </w:pPr>
          </w:p>
        </w:tc>
      </w:tr>
      <w:tr w:rsidR="00FB529E" w:rsidRPr="00FC515D" w:rsidTr="00417239">
        <w:trPr>
          <w:trHeight w:val="409"/>
        </w:trPr>
        <w:tc>
          <w:tcPr>
            <w:tcW w:w="1641" w:type="dxa"/>
            <w:vMerge/>
            <w:tcBorders>
              <w:bottom w:val="single" w:sz="18" w:space="0" w:color="1F497D"/>
            </w:tcBorders>
            <w:shd w:val="clear" w:color="auto" w:fill="B8CCE4"/>
            <w:vAlign w:val="bottom"/>
          </w:tcPr>
          <w:p w:rsidR="00FB529E" w:rsidRPr="008D2F8A" w:rsidRDefault="00FB529E" w:rsidP="00806C87">
            <w:pPr>
              <w:rPr>
                <w:rFonts w:ascii="Cambria" w:hAnsi="Cambria"/>
                <w:b/>
                <w:sz w:val="20"/>
                <w:szCs w:val="20"/>
                <w:lang w:val="en-GB"/>
              </w:rPr>
            </w:pPr>
          </w:p>
        </w:tc>
        <w:tc>
          <w:tcPr>
            <w:tcW w:w="1411" w:type="dxa"/>
            <w:tcBorders>
              <w:bottom w:val="single" w:sz="18" w:space="0" w:color="1F497D"/>
            </w:tcBorders>
            <w:vAlign w:val="center"/>
          </w:tcPr>
          <w:p w:rsidR="00FB529E" w:rsidRPr="008D2F8A" w:rsidRDefault="00FB529E" w:rsidP="00806C87">
            <w:pPr>
              <w:jc w:val="right"/>
              <w:rPr>
                <w:rFonts w:ascii="Cambria" w:hAnsi="Cambria"/>
                <w:sz w:val="20"/>
                <w:szCs w:val="20"/>
                <w:lang w:val="en-GB"/>
              </w:rPr>
            </w:pPr>
            <w:r>
              <w:rPr>
                <w:rFonts w:ascii="Cambria" w:hAnsi="Cambria"/>
                <w:sz w:val="20"/>
                <w:szCs w:val="20"/>
                <w:lang w:val="en-GB"/>
              </w:rPr>
              <w:t>48,279</w:t>
            </w:r>
          </w:p>
        </w:tc>
        <w:tc>
          <w:tcPr>
            <w:tcW w:w="1592" w:type="dxa"/>
            <w:tcBorders>
              <w:bottom w:val="single" w:sz="18" w:space="0" w:color="1F497D"/>
            </w:tcBorders>
            <w:vAlign w:val="center"/>
          </w:tcPr>
          <w:p w:rsidR="00FB529E" w:rsidRPr="008D2F8A" w:rsidRDefault="00FB529E" w:rsidP="00806C87">
            <w:pPr>
              <w:jc w:val="right"/>
              <w:rPr>
                <w:rFonts w:ascii="Cambria" w:hAnsi="Cambria"/>
                <w:sz w:val="20"/>
                <w:szCs w:val="20"/>
                <w:lang w:val="en-GB"/>
              </w:rPr>
            </w:pPr>
            <w:r>
              <w:rPr>
                <w:rFonts w:ascii="Cambria" w:hAnsi="Cambria"/>
                <w:sz w:val="20"/>
                <w:szCs w:val="20"/>
                <w:lang w:val="en-GB"/>
              </w:rPr>
              <w:t>50,689</w:t>
            </w:r>
          </w:p>
        </w:tc>
        <w:tc>
          <w:tcPr>
            <w:tcW w:w="2410" w:type="dxa"/>
            <w:tcBorders>
              <w:bottom w:val="single" w:sz="18" w:space="0" w:color="1F497D"/>
            </w:tcBorders>
            <w:vAlign w:val="center"/>
          </w:tcPr>
          <w:p w:rsidR="00FB529E" w:rsidRDefault="00FB529E" w:rsidP="00806C87">
            <w:pPr>
              <w:jc w:val="right"/>
              <w:rPr>
                <w:rFonts w:ascii="Cambria" w:hAnsi="Cambria"/>
                <w:sz w:val="20"/>
                <w:szCs w:val="20"/>
                <w:lang w:val="en-GB"/>
              </w:rPr>
            </w:pPr>
          </w:p>
        </w:tc>
      </w:tr>
      <w:tr w:rsidR="00FB529E" w:rsidRPr="00FC515D" w:rsidTr="00417239">
        <w:trPr>
          <w:trHeight w:val="387"/>
        </w:trPr>
        <w:tc>
          <w:tcPr>
            <w:tcW w:w="1641" w:type="dxa"/>
            <w:tcBorders>
              <w:top w:val="single" w:sz="18" w:space="0" w:color="1F497D"/>
              <w:left w:val="single" w:sz="18" w:space="0" w:color="1F497D"/>
            </w:tcBorders>
            <w:shd w:val="clear" w:color="auto" w:fill="auto"/>
            <w:vAlign w:val="center"/>
          </w:tcPr>
          <w:p w:rsidR="00FB529E" w:rsidRPr="00553D6F" w:rsidRDefault="00FB529E" w:rsidP="00806C87">
            <w:pPr>
              <w:rPr>
                <w:rFonts w:ascii="Cambria" w:hAnsi="Cambria"/>
                <w:b/>
                <w:i/>
                <w:sz w:val="20"/>
                <w:szCs w:val="20"/>
                <w:lang w:val="en-GB"/>
              </w:rPr>
            </w:pPr>
            <w:r>
              <w:rPr>
                <w:rFonts w:ascii="Cambria" w:hAnsi="Cambria"/>
                <w:b/>
                <w:i/>
                <w:sz w:val="20"/>
                <w:szCs w:val="20"/>
                <w:lang w:val="en-GB"/>
              </w:rPr>
              <w:t>May</w:t>
            </w:r>
            <w:r w:rsidRPr="00553D6F">
              <w:rPr>
                <w:rFonts w:ascii="Cambria" w:hAnsi="Cambria"/>
                <w:b/>
                <w:i/>
                <w:sz w:val="20"/>
                <w:szCs w:val="20"/>
                <w:lang w:val="en-GB"/>
              </w:rPr>
              <w:t xml:space="preserve">  2014</w:t>
            </w:r>
          </w:p>
        </w:tc>
        <w:tc>
          <w:tcPr>
            <w:tcW w:w="1411" w:type="dxa"/>
            <w:tcBorders>
              <w:top w:val="single" w:sz="18" w:space="0" w:color="1F497D"/>
              <w:bottom w:val="single" w:sz="12" w:space="0" w:color="1F497D"/>
            </w:tcBorders>
            <w:vAlign w:val="center"/>
          </w:tcPr>
          <w:p w:rsidR="00FB529E" w:rsidRPr="008D2F8A" w:rsidRDefault="00FB529E" w:rsidP="00806C87">
            <w:pPr>
              <w:rPr>
                <w:rFonts w:ascii="Cambria" w:hAnsi="Cambria"/>
                <w:sz w:val="20"/>
                <w:szCs w:val="20"/>
                <w:lang w:val="en-GB"/>
              </w:rPr>
            </w:pPr>
          </w:p>
        </w:tc>
        <w:tc>
          <w:tcPr>
            <w:tcW w:w="1592" w:type="dxa"/>
            <w:tcBorders>
              <w:top w:val="single" w:sz="18" w:space="0" w:color="1F497D"/>
              <w:bottom w:val="single" w:sz="12" w:space="0" w:color="1F497D"/>
            </w:tcBorders>
            <w:vAlign w:val="center"/>
          </w:tcPr>
          <w:p w:rsidR="00FB529E" w:rsidRPr="008D2F8A" w:rsidRDefault="00FB529E" w:rsidP="00806C87">
            <w:pPr>
              <w:rPr>
                <w:rFonts w:ascii="Cambria" w:hAnsi="Cambria"/>
                <w:b/>
                <w:sz w:val="20"/>
                <w:szCs w:val="20"/>
                <w:lang w:val="en-GB"/>
              </w:rPr>
            </w:pPr>
          </w:p>
        </w:tc>
        <w:tc>
          <w:tcPr>
            <w:tcW w:w="2410" w:type="dxa"/>
            <w:tcBorders>
              <w:top w:val="single" w:sz="18" w:space="0" w:color="1F497D"/>
              <w:bottom w:val="single" w:sz="12" w:space="0" w:color="1F497D"/>
              <w:right w:val="single" w:sz="18" w:space="0" w:color="1F497D"/>
            </w:tcBorders>
            <w:vAlign w:val="center"/>
          </w:tcPr>
          <w:p w:rsidR="00FB529E" w:rsidRPr="008D2F8A" w:rsidRDefault="00FB529E" w:rsidP="00806C87">
            <w:pPr>
              <w:rPr>
                <w:rFonts w:ascii="Cambria" w:hAnsi="Cambria"/>
                <w:sz w:val="20"/>
                <w:szCs w:val="20"/>
                <w:lang w:val="en-GB"/>
              </w:rPr>
            </w:pPr>
          </w:p>
        </w:tc>
      </w:tr>
      <w:tr w:rsidR="00FB529E" w:rsidRPr="00FC515D" w:rsidTr="00417239">
        <w:trPr>
          <w:trHeight w:val="283"/>
        </w:trPr>
        <w:tc>
          <w:tcPr>
            <w:tcW w:w="1641" w:type="dxa"/>
            <w:tcBorders>
              <w:left w:val="single" w:sz="18" w:space="0" w:color="1F497D"/>
            </w:tcBorders>
            <w:shd w:val="clear" w:color="auto" w:fill="auto"/>
            <w:vAlign w:val="bottom"/>
          </w:tcPr>
          <w:p w:rsidR="00FB529E" w:rsidRPr="008D2F8A" w:rsidRDefault="00FB529E" w:rsidP="00806C87">
            <w:pPr>
              <w:rPr>
                <w:rFonts w:ascii="Cambria" w:hAnsi="Cambria"/>
                <w:b/>
                <w:sz w:val="20"/>
                <w:szCs w:val="20"/>
                <w:lang w:val="en-GB"/>
              </w:rPr>
            </w:pPr>
            <w:r w:rsidRPr="008D2F8A">
              <w:rPr>
                <w:rFonts w:ascii="Cambria" w:hAnsi="Cambria"/>
                <w:b/>
                <w:sz w:val="20"/>
                <w:szCs w:val="20"/>
                <w:lang w:val="en-GB"/>
              </w:rPr>
              <w:t xml:space="preserve">Adult </w:t>
            </w:r>
          </w:p>
        </w:tc>
        <w:tc>
          <w:tcPr>
            <w:tcW w:w="1411" w:type="dxa"/>
            <w:tcBorders>
              <w:bottom w:val="single" w:sz="12" w:space="0" w:color="1F497D"/>
            </w:tcBorders>
            <w:vAlign w:val="center"/>
          </w:tcPr>
          <w:p w:rsidR="00FB529E" w:rsidRPr="00553D6F" w:rsidRDefault="00FB529E" w:rsidP="00806C87">
            <w:pPr>
              <w:jc w:val="right"/>
              <w:rPr>
                <w:rFonts w:ascii="Cambria" w:hAnsi="Cambria"/>
                <w:b/>
                <w:sz w:val="20"/>
                <w:szCs w:val="20"/>
                <w:lang w:val="en-GB"/>
              </w:rPr>
            </w:pPr>
            <w:r>
              <w:rPr>
                <w:rFonts w:ascii="Cambria" w:hAnsi="Cambria"/>
                <w:b/>
                <w:sz w:val="20"/>
                <w:szCs w:val="20"/>
                <w:lang w:val="en-GB"/>
              </w:rPr>
              <w:t>0-20 weeks</w:t>
            </w:r>
          </w:p>
        </w:tc>
        <w:tc>
          <w:tcPr>
            <w:tcW w:w="1592" w:type="dxa"/>
            <w:tcBorders>
              <w:bottom w:val="single" w:sz="12" w:space="0" w:color="1F497D"/>
            </w:tcBorders>
            <w:vAlign w:val="center"/>
          </w:tcPr>
          <w:p w:rsidR="00FB529E" w:rsidRPr="008D2F8A" w:rsidRDefault="00FB529E" w:rsidP="00806C87">
            <w:pPr>
              <w:jc w:val="right"/>
              <w:rPr>
                <w:rFonts w:ascii="Cambria" w:hAnsi="Cambria"/>
                <w:b/>
                <w:sz w:val="20"/>
                <w:szCs w:val="20"/>
                <w:lang w:val="en-GB"/>
              </w:rPr>
            </w:pPr>
            <w:r>
              <w:rPr>
                <w:rFonts w:ascii="Cambria" w:hAnsi="Cambria"/>
                <w:b/>
                <w:sz w:val="20"/>
                <w:szCs w:val="20"/>
                <w:lang w:val="en-GB"/>
              </w:rPr>
              <w:t>&gt;20 weeks</w:t>
            </w:r>
          </w:p>
        </w:tc>
        <w:tc>
          <w:tcPr>
            <w:tcW w:w="2410" w:type="dxa"/>
            <w:tcBorders>
              <w:bottom w:val="single" w:sz="12" w:space="0" w:color="1F497D"/>
              <w:right w:val="single" w:sz="18" w:space="0" w:color="1F497D"/>
            </w:tcBorders>
            <w:vAlign w:val="center"/>
          </w:tcPr>
          <w:p w:rsidR="00FB529E" w:rsidRPr="00553D6F" w:rsidRDefault="00FB529E" w:rsidP="00806C87">
            <w:pPr>
              <w:jc w:val="right"/>
              <w:rPr>
                <w:rFonts w:ascii="Cambria" w:hAnsi="Cambria"/>
                <w:b/>
                <w:sz w:val="20"/>
                <w:szCs w:val="20"/>
                <w:lang w:val="en-GB"/>
              </w:rPr>
            </w:pPr>
            <w:r>
              <w:rPr>
                <w:rFonts w:ascii="Cambria" w:hAnsi="Cambria"/>
                <w:b/>
                <w:sz w:val="20"/>
                <w:szCs w:val="20"/>
                <w:lang w:val="en-GB"/>
              </w:rPr>
              <w:t>TOTAL – May</w:t>
            </w:r>
            <w:r w:rsidRPr="00553D6F">
              <w:rPr>
                <w:rFonts w:ascii="Cambria" w:hAnsi="Cambria"/>
                <w:b/>
                <w:sz w:val="20"/>
                <w:szCs w:val="20"/>
                <w:lang w:val="en-GB"/>
              </w:rPr>
              <w:t xml:space="preserve"> 2014</w:t>
            </w:r>
          </w:p>
        </w:tc>
      </w:tr>
      <w:tr w:rsidR="00FB529E" w:rsidRPr="00FC515D" w:rsidTr="00417239">
        <w:trPr>
          <w:trHeight w:val="377"/>
        </w:trPr>
        <w:tc>
          <w:tcPr>
            <w:tcW w:w="1641" w:type="dxa"/>
            <w:tcBorders>
              <w:left w:val="single" w:sz="18" w:space="0" w:color="1F497D"/>
            </w:tcBorders>
            <w:shd w:val="clear" w:color="auto" w:fill="B8CCE4"/>
            <w:vAlign w:val="bottom"/>
          </w:tcPr>
          <w:p w:rsidR="00FB529E" w:rsidRPr="008D2F8A" w:rsidRDefault="00FB529E" w:rsidP="00806C87">
            <w:pPr>
              <w:rPr>
                <w:rFonts w:ascii="Cambria" w:hAnsi="Cambria"/>
                <w:b/>
                <w:sz w:val="20"/>
                <w:szCs w:val="20"/>
                <w:lang w:val="en-GB"/>
              </w:rPr>
            </w:pPr>
            <w:r w:rsidRPr="008D2F8A">
              <w:rPr>
                <w:rFonts w:ascii="Cambria" w:hAnsi="Cambria"/>
                <w:b/>
                <w:sz w:val="20"/>
                <w:szCs w:val="20"/>
                <w:lang w:val="en-GB"/>
              </w:rPr>
              <w:t xml:space="preserve">    Inpatient</w:t>
            </w:r>
          </w:p>
        </w:tc>
        <w:tc>
          <w:tcPr>
            <w:tcW w:w="1411" w:type="dxa"/>
            <w:tcBorders>
              <w:top w:val="single" w:sz="12" w:space="0" w:color="1F497D"/>
            </w:tcBorders>
            <w:vAlign w:val="center"/>
          </w:tcPr>
          <w:p w:rsidR="00FB529E" w:rsidRPr="008D2F8A" w:rsidRDefault="00FB529E" w:rsidP="00806C87">
            <w:pPr>
              <w:jc w:val="right"/>
              <w:rPr>
                <w:rFonts w:ascii="Cambria" w:hAnsi="Cambria"/>
                <w:sz w:val="20"/>
                <w:szCs w:val="20"/>
                <w:lang w:val="en-GB"/>
              </w:rPr>
            </w:pPr>
            <w:r>
              <w:rPr>
                <w:rFonts w:ascii="Cambria" w:hAnsi="Cambria"/>
                <w:sz w:val="20"/>
                <w:szCs w:val="20"/>
                <w:lang w:val="en-GB"/>
              </w:rPr>
              <w:t>11,436</w:t>
            </w:r>
          </w:p>
        </w:tc>
        <w:tc>
          <w:tcPr>
            <w:tcW w:w="1592" w:type="dxa"/>
            <w:tcBorders>
              <w:top w:val="single" w:sz="12" w:space="0" w:color="1F497D"/>
            </w:tcBorders>
            <w:vAlign w:val="center"/>
          </w:tcPr>
          <w:p w:rsidR="00FB529E" w:rsidRPr="008D2F8A" w:rsidRDefault="00FB529E" w:rsidP="00806C87">
            <w:pPr>
              <w:jc w:val="right"/>
              <w:rPr>
                <w:rFonts w:ascii="Cambria" w:hAnsi="Cambria"/>
                <w:sz w:val="20"/>
                <w:szCs w:val="20"/>
                <w:lang w:val="en-GB"/>
              </w:rPr>
            </w:pPr>
            <w:r>
              <w:rPr>
                <w:rFonts w:ascii="Cambria" w:hAnsi="Cambria"/>
                <w:sz w:val="20"/>
                <w:szCs w:val="20"/>
                <w:lang w:val="en-GB"/>
              </w:rPr>
              <w:t>1,889</w:t>
            </w:r>
          </w:p>
        </w:tc>
        <w:tc>
          <w:tcPr>
            <w:tcW w:w="2410" w:type="dxa"/>
            <w:tcBorders>
              <w:top w:val="single" w:sz="12" w:space="0" w:color="1F497D"/>
              <w:right w:val="single" w:sz="18" w:space="0" w:color="1F497D"/>
            </w:tcBorders>
            <w:vAlign w:val="center"/>
          </w:tcPr>
          <w:p w:rsidR="00FB529E" w:rsidRPr="008D2F8A" w:rsidRDefault="00FB529E" w:rsidP="00806C87">
            <w:pPr>
              <w:jc w:val="right"/>
              <w:rPr>
                <w:rFonts w:ascii="Cambria" w:hAnsi="Cambria"/>
                <w:sz w:val="20"/>
                <w:szCs w:val="20"/>
                <w:lang w:val="en-GB"/>
              </w:rPr>
            </w:pPr>
            <w:r>
              <w:rPr>
                <w:rFonts w:ascii="Cambria" w:hAnsi="Cambria"/>
                <w:sz w:val="20"/>
                <w:szCs w:val="20"/>
                <w:lang w:val="en-GB"/>
              </w:rPr>
              <w:t>13,335</w:t>
            </w:r>
          </w:p>
        </w:tc>
      </w:tr>
      <w:tr w:rsidR="00FB529E" w:rsidRPr="00FC515D" w:rsidTr="00417239">
        <w:trPr>
          <w:trHeight w:val="410"/>
        </w:trPr>
        <w:tc>
          <w:tcPr>
            <w:tcW w:w="1641" w:type="dxa"/>
            <w:tcBorders>
              <w:left w:val="single" w:sz="18" w:space="0" w:color="1F497D"/>
            </w:tcBorders>
            <w:shd w:val="clear" w:color="auto" w:fill="B8CCE4"/>
            <w:vAlign w:val="bottom"/>
          </w:tcPr>
          <w:p w:rsidR="00FB529E" w:rsidRPr="008D2F8A" w:rsidRDefault="00FB529E" w:rsidP="00806C87">
            <w:pPr>
              <w:rPr>
                <w:rFonts w:ascii="Cambria" w:hAnsi="Cambria"/>
                <w:b/>
                <w:sz w:val="20"/>
                <w:szCs w:val="20"/>
                <w:lang w:val="en-GB"/>
              </w:rPr>
            </w:pPr>
            <w:r w:rsidRPr="008D2F8A">
              <w:rPr>
                <w:rFonts w:ascii="Cambria" w:hAnsi="Cambria"/>
                <w:b/>
                <w:sz w:val="20"/>
                <w:szCs w:val="20"/>
                <w:lang w:val="en-GB"/>
              </w:rPr>
              <w:t xml:space="preserve">    Day-case</w:t>
            </w:r>
          </w:p>
        </w:tc>
        <w:tc>
          <w:tcPr>
            <w:tcW w:w="1411" w:type="dxa"/>
            <w:vAlign w:val="center"/>
          </w:tcPr>
          <w:p w:rsidR="00FB529E" w:rsidRPr="008D2F8A" w:rsidRDefault="00FB529E" w:rsidP="00806C87">
            <w:pPr>
              <w:jc w:val="right"/>
              <w:rPr>
                <w:rFonts w:ascii="Cambria" w:hAnsi="Cambria"/>
                <w:sz w:val="20"/>
                <w:szCs w:val="20"/>
                <w:lang w:val="en-GB"/>
              </w:rPr>
            </w:pPr>
            <w:r>
              <w:rPr>
                <w:rFonts w:ascii="Cambria" w:hAnsi="Cambria"/>
                <w:sz w:val="20"/>
                <w:szCs w:val="20"/>
                <w:lang w:val="en-GB"/>
              </w:rPr>
              <w:t>29,326</w:t>
            </w:r>
          </w:p>
        </w:tc>
        <w:tc>
          <w:tcPr>
            <w:tcW w:w="1592" w:type="dxa"/>
            <w:vAlign w:val="center"/>
          </w:tcPr>
          <w:p w:rsidR="00FB529E" w:rsidRPr="008D2F8A" w:rsidRDefault="00FB529E" w:rsidP="00806C87">
            <w:pPr>
              <w:jc w:val="right"/>
              <w:rPr>
                <w:rFonts w:ascii="Cambria" w:hAnsi="Cambria"/>
                <w:sz w:val="20"/>
                <w:szCs w:val="20"/>
                <w:lang w:val="en-GB"/>
              </w:rPr>
            </w:pPr>
            <w:r>
              <w:rPr>
                <w:rFonts w:ascii="Cambria" w:hAnsi="Cambria"/>
                <w:sz w:val="20"/>
                <w:szCs w:val="20"/>
                <w:lang w:val="en-GB"/>
              </w:rPr>
              <w:t>3,379</w:t>
            </w:r>
          </w:p>
        </w:tc>
        <w:tc>
          <w:tcPr>
            <w:tcW w:w="2410" w:type="dxa"/>
            <w:tcBorders>
              <w:right w:val="single" w:sz="18" w:space="0" w:color="1F497D"/>
            </w:tcBorders>
            <w:vAlign w:val="center"/>
          </w:tcPr>
          <w:p w:rsidR="00FB529E" w:rsidRPr="008D2F8A" w:rsidRDefault="00FB529E" w:rsidP="00806C87">
            <w:pPr>
              <w:jc w:val="right"/>
              <w:rPr>
                <w:rFonts w:ascii="Cambria" w:hAnsi="Cambria"/>
                <w:sz w:val="20"/>
                <w:szCs w:val="20"/>
                <w:lang w:val="en-GB"/>
              </w:rPr>
            </w:pPr>
            <w:r>
              <w:rPr>
                <w:rFonts w:ascii="Cambria" w:hAnsi="Cambria"/>
                <w:sz w:val="20"/>
                <w:szCs w:val="20"/>
                <w:lang w:val="en-GB"/>
              </w:rPr>
              <w:t>32,705</w:t>
            </w:r>
          </w:p>
        </w:tc>
      </w:tr>
      <w:tr w:rsidR="00FB529E" w:rsidRPr="00FC515D" w:rsidTr="00417239">
        <w:trPr>
          <w:trHeight w:val="404"/>
        </w:trPr>
        <w:tc>
          <w:tcPr>
            <w:tcW w:w="1641" w:type="dxa"/>
            <w:tcBorders>
              <w:left w:val="single" w:sz="18" w:space="0" w:color="1F497D"/>
            </w:tcBorders>
            <w:shd w:val="clear" w:color="auto" w:fill="auto"/>
            <w:vAlign w:val="bottom"/>
          </w:tcPr>
          <w:p w:rsidR="00FB529E" w:rsidRPr="008D2F8A" w:rsidRDefault="00FB529E" w:rsidP="00806C87">
            <w:pPr>
              <w:rPr>
                <w:rFonts w:ascii="Cambria" w:hAnsi="Cambria"/>
                <w:b/>
                <w:sz w:val="20"/>
                <w:szCs w:val="20"/>
                <w:lang w:val="en-GB"/>
              </w:rPr>
            </w:pPr>
            <w:r>
              <w:rPr>
                <w:rFonts w:ascii="Cambria" w:hAnsi="Cambria"/>
                <w:b/>
                <w:sz w:val="20"/>
                <w:szCs w:val="20"/>
                <w:lang w:val="en-GB"/>
              </w:rPr>
              <w:t>Child</w:t>
            </w:r>
          </w:p>
        </w:tc>
        <w:tc>
          <w:tcPr>
            <w:tcW w:w="1411" w:type="dxa"/>
            <w:shd w:val="clear" w:color="auto" w:fill="auto"/>
            <w:vAlign w:val="center"/>
          </w:tcPr>
          <w:p w:rsidR="00FB529E" w:rsidRDefault="00FB529E" w:rsidP="00806C87">
            <w:pPr>
              <w:jc w:val="right"/>
              <w:rPr>
                <w:rFonts w:ascii="Cambria" w:hAnsi="Cambria"/>
                <w:sz w:val="20"/>
                <w:szCs w:val="20"/>
                <w:lang w:val="en-GB"/>
              </w:rPr>
            </w:pPr>
          </w:p>
        </w:tc>
        <w:tc>
          <w:tcPr>
            <w:tcW w:w="1592" w:type="dxa"/>
            <w:shd w:val="clear" w:color="auto" w:fill="auto"/>
            <w:vAlign w:val="center"/>
          </w:tcPr>
          <w:p w:rsidR="00FB529E" w:rsidRDefault="00FB529E" w:rsidP="00806C87">
            <w:pPr>
              <w:jc w:val="right"/>
              <w:rPr>
                <w:rFonts w:ascii="Cambria" w:hAnsi="Cambria"/>
                <w:sz w:val="20"/>
                <w:szCs w:val="20"/>
                <w:lang w:val="en-GB"/>
              </w:rPr>
            </w:pPr>
          </w:p>
        </w:tc>
        <w:tc>
          <w:tcPr>
            <w:tcW w:w="2410" w:type="dxa"/>
            <w:tcBorders>
              <w:right w:val="single" w:sz="18" w:space="0" w:color="1F497D"/>
            </w:tcBorders>
            <w:shd w:val="clear" w:color="auto" w:fill="auto"/>
            <w:vAlign w:val="center"/>
          </w:tcPr>
          <w:p w:rsidR="00FB529E" w:rsidRDefault="00FB529E" w:rsidP="00806C87">
            <w:pPr>
              <w:jc w:val="right"/>
              <w:rPr>
                <w:rFonts w:ascii="Cambria" w:hAnsi="Cambria"/>
                <w:sz w:val="20"/>
                <w:szCs w:val="20"/>
                <w:lang w:val="en-GB"/>
              </w:rPr>
            </w:pPr>
            <w:r>
              <w:rPr>
                <w:rFonts w:ascii="Cambria" w:hAnsi="Cambria"/>
                <w:sz w:val="20"/>
                <w:szCs w:val="20"/>
                <w:lang w:val="en-GB"/>
              </w:rPr>
              <w:t>0</w:t>
            </w:r>
          </w:p>
        </w:tc>
      </w:tr>
      <w:tr w:rsidR="00FB529E" w:rsidRPr="00FC515D" w:rsidTr="00417239">
        <w:trPr>
          <w:trHeight w:val="436"/>
        </w:trPr>
        <w:tc>
          <w:tcPr>
            <w:tcW w:w="1641" w:type="dxa"/>
            <w:tcBorders>
              <w:left w:val="single" w:sz="18" w:space="0" w:color="1F497D"/>
              <w:bottom w:val="single" w:sz="6" w:space="0" w:color="1F497D"/>
            </w:tcBorders>
            <w:shd w:val="clear" w:color="auto" w:fill="B8CCE4"/>
            <w:vAlign w:val="bottom"/>
          </w:tcPr>
          <w:p w:rsidR="00FB529E" w:rsidRPr="008D2F8A" w:rsidRDefault="00FB529E" w:rsidP="00806C87">
            <w:pPr>
              <w:rPr>
                <w:rFonts w:ascii="Cambria" w:hAnsi="Cambria"/>
                <w:b/>
                <w:sz w:val="20"/>
                <w:szCs w:val="20"/>
                <w:lang w:val="en-GB"/>
              </w:rPr>
            </w:pPr>
            <w:r w:rsidRPr="008D2F8A">
              <w:rPr>
                <w:rFonts w:ascii="Cambria" w:hAnsi="Cambria"/>
                <w:b/>
                <w:sz w:val="20"/>
                <w:szCs w:val="20"/>
                <w:lang w:val="en-GB"/>
              </w:rPr>
              <w:t xml:space="preserve">    Inpatient</w:t>
            </w:r>
          </w:p>
        </w:tc>
        <w:tc>
          <w:tcPr>
            <w:tcW w:w="1411" w:type="dxa"/>
            <w:tcBorders>
              <w:bottom w:val="single" w:sz="6" w:space="0" w:color="1F497D"/>
            </w:tcBorders>
            <w:vAlign w:val="center"/>
          </w:tcPr>
          <w:p w:rsidR="00FB529E" w:rsidRPr="008D2F8A" w:rsidRDefault="00FB529E" w:rsidP="00806C87">
            <w:pPr>
              <w:jc w:val="right"/>
              <w:rPr>
                <w:rFonts w:ascii="Cambria" w:hAnsi="Cambria"/>
                <w:sz w:val="20"/>
                <w:szCs w:val="20"/>
                <w:lang w:val="en-GB"/>
              </w:rPr>
            </w:pPr>
            <w:r>
              <w:rPr>
                <w:rFonts w:ascii="Cambria" w:hAnsi="Cambria"/>
                <w:sz w:val="20"/>
                <w:szCs w:val="20"/>
                <w:lang w:val="en-GB"/>
              </w:rPr>
              <w:t>1,826</w:t>
            </w:r>
          </w:p>
        </w:tc>
        <w:tc>
          <w:tcPr>
            <w:tcW w:w="1592" w:type="dxa"/>
            <w:tcBorders>
              <w:bottom w:val="single" w:sz="6" w:space="0" w:color="1F497D"/>
            </w:tcBorders>
            <w:vAlign w:val="center"/>
          </w:tcPr>
          <w:p w:rsidR="00FB529E" w:rsidRPr="008D2F8A" w:rsidRDefault="00FB529E" w:rsidP="00806C87">
            <w:pPr>
              <w:jc w:val="right"/>
              <w:rPr>
                <w:rFonts w:ascii="Cambria" w:hAnsi="Cambria"/>
                <w:sz w:val="20"/>
                <w:szCs w:val="20"/>
                <w:lang w:val="en-GB"/>
              </w:rPr>
            </w:pPr>
            <w:r>
              <w:rPr>
                <w:rFonts w:ascii="Cambria" w:hAnsi="Cambria"/>
                <w:sz w:val="20"/>
                <w:szCs w:val="20"/>
                <w:lang w:val="en-GB"/>
              </w:rPr>
              <w:t>719</w:t>
            </w:r>
          </w:p>
        </w:tc>
        <w:tc>
          <w:tcPr>
            <w:tcW w:w="2410" w:type="dxa"/>
            <w:tcBorders>
              <w:bottom w:val="single" w:sz="6" w:space="0" w:color="1F497D"/>
              <w:right w:val="single" w:sz="18" w:space="0" w:color="1F497D"/>
            </w:tcBorders>
            <w:vAlign w:val="center"/>
          </w:tcPr>
          <w:p w:rsidR="00FB529E" w:rsidRPr="008D2F8A" w:rsidRDefault="00FB529E" w:rsidP="00806C87">
            <w:pPr>
              <w:jc w:val="right"/>
              <w:rPr>
                <w:rFonts w:ascii="Cambria" w:hAnsi="Cambria"/>
                <w:sz w:val="20"/>
                <w:szCs w:val="20"/>
                <w:lang w:val="en-GB"/>
              </w:rPr>
            </w:pPr>
            <w:r>
              <w:rPr>
                <w:rFonts w:ascii="Cambria" w:hAnsi="Cambria"/>
                <w:sz w:val="20"/>
                <w:szCs w:val="20"/>
                <w:lang w:val="en-GB"/>
              </w:rPr>
              <w:t>2,545</w:t>
            </w:r>
          </w:p>
        </w:tc>
      </w:tr>
      <w:tr w:rsidR="00FB529E" w:rsidRPr="00FC515D" w:rsidTr="00417239">
        <w:trPr>
          <w:trHeight w:val="412"/>
        </w:trPr>
        <w:tc>
          <w:tcPr>
            <w:tcW w:w="1641" w:type="dxa"/>
            <w:tcBorders>
              <w:left w:val="single" w:sz="18" w:space="0" w:color="1F497D"/>
            </w:tcBorders>
            <w:shd w:val="clear" w:color="auto" w:fill="B8CCE4"/>
            <w:vAlign w:val="bottom"/>
          </w:tcPr>
          <w:p w:rsidR="00FB529E" w:rsidRPr="008D2F8A" w:rsidRDefault="00FB529E" w:rsidP="00806C87">
            <w:pPr>
              <w:rPr>
                <w:rFonts w:ascii="Cambria" w:hAnsi="Cambria"/>
                <w:b/>
                <w:sz w:val="20"/>
                <w:szCs w:val="20"/>
                <w:lang w:val="en-GB"/>
              </w:rPr>
            </w:pPr>
            <w:r w:rsidRPr="008D2F8A">
              <w:rPr>
                <w:rFonts w:ascii="Cambria" w:hAnsi="Cambria"/>
                <w:b/>
                <w:sz w:val="20"/>
                <w:szCs w:val="20"/>
                <w:lang w:val="en-GB"/>
              </w:rPr>
              <w:t xml:space="preserve">    Day-case</w:t>
            </w:r>
          </w:p>
        </w:tc>
        <w:tc>
          <w:tcPr>
            <w:tcW w:w="1411" w:type="dxa"/>
            <w:vAlign w:val="center"/>
          </w:tcPr>
          <w:p w:rsidR="00FB529E" w:rsidRPr="008D2F8A" w:rsidRDefault="00FB529E" w:rsidP="00806C87">
            <w:pPr>
              <w:jc w:val="right"/>
              <w:rPr>
                <w:rFonts w:ascii="Cambria" w:hAnsi="Cambria"/>
                <w:sz w:val="20"/>
                <w:szCs w:val="20"/>
                <w:lang w:val="en-GB"/>
              </w:rPr>
            </w:pPr>
            <w:r>
              <w:rPr>
                <w:rFonts w:ascii="Cambria" w:hAnsi="Cambria"/>
                <w:sz w:val="20"/>
                <w:szCs w:val="20"/>
                <w:lang w:val="en-GB"/>
              </w:rPr>
              <w:t>1,737</w:t>
            </w:r>
          </w:p>
        </w:tc>
        <w:tc>
          <w:tcPr>
            <w:tcW w:w="1592" w:type="dxa"/>
            <w:vAlign w:val="center"/>
          </w:tcPr>
          <w:p w:rsidR="00FB529E" w:rsidRPr="008D2F8A" w:rsidRDefault="00FB529E" w:rsidP="00806C87">
            <w:pPr>
              <w:jc w:val="right"/>
              <w:rPr>
                <w:rFonts w:ascii="Cambria" w:hAnsi="Cambria"/>
                <w:sz w:val="20"/>
                <w:szCs w:val="20"/>
                <w:lang w:val="en-GB"/>
              </w:rPr>
            </w:pPr>
            <w:r>
              <w:rPr>
                <w:rFonts w:ascii="Cambria" w:hAnsi="Cambria"/>
                <w:sz w:val="20"/>
                <w:szCs w:val="20"/>
                <w:lang w:val="en-GB"/>
              </w:rPr>
              <w:t>367</w:t>
            </w:r>
          </w:p>
        </w:tc>
        <w:tc>
          <w:tcPr>
            <w:tcW w:w="2410" w:type="dxa"/>
            <w:tcBorders>
              <w:right w:val="single" w:sz="18" w:space="0" w:color="1F497D"/>
            </w:tcBorders>
            <w:vAlign w:val="center"/>
          </w:tcPr>
          <w:p w:rsidR="00FB529E" w:rsidRPr="008D2F8A" w:rsidRDefault="00FB529E" w:rsidP="00806C87">
            <w:pPr>
              <w:jc w:val="right"/>
              <w:rPr>
                <w:rFonts w:ascii="Cambria" w:hAnsi="Cambria"/>
                <w:sz w:val="20"/>
                <w:szCs w:val="20"/>
                <w:lang w:val="en-GB"/>
              </w:rPr>
            </w:pPr>
            <w:r>
              <w:rPr>
                <w:rFonts w:ascii="Cambria" w:hAnsi="Cambria"/>
                <w:sz w:val="20"/>
                <w:szCs w:val="20"/>
                <w:lang w:val="en-GB"/>
              </w:rPr>
              <w:t>2,104</w:t>
            </w:r>
          </w:p>
        </w:tc>
      </w:tr>
      <w:tr w:rsidR="00FB529E" w:rsidRPr="00FC515D" w:rsidTr="00417239">
        <w:trPr>
          <w:trHeight w:val="412"/>
        </w:trPr>
        <w:tc>
          <w:tcPr>
            <w:tcW w:w="1641" w:type="dxa"/>
            <w:tcBorders>
              <w:left w:val="single" w:sz="18" w:space="0" w:color="1F497D"/>
              <w:bottom w:val="single" w:sz="18" w:space="0" w:color="1F497D"/>
            </w:tcBorders>
            <w:shd w:val="clear" w:color="auto" w:fill="B8CCE4"/>
            <w:vAlign w:val="bottom"/>
          </w:tcPr>
          <w:p w:rsidR="00FB529E" w:rsidRPr="008D2F8A" w:rsidRDefault="00FB529E" w:rsidP="00806C87">
            <w:pPr>
              <w:rPr>
                <w:rFonts w:ascii="Cambria" w:hAnsi="Cambria"/>
                <w:b/>
                <w:sz w:val="20"/>
                <w:szCs w:val="20"/>
                <w:lang w:val="en-GB"/>
              </w:rPr>
            </w:pPr>
          </w:p>
        </w:tc>
        <w:tc>
          <w:tcPr>
            <w:tcW w:w="1411" w:type="dxa"/>
            <w:tcBorders>
              <w:bottom w:val="single" w:sz="18" w:space="0" w:color="1F497D"/>
            </w:tcBorders>
            <w:vAlign w:val="center"/>
          </w:tcPr>
          <w:p w:rsidR="00FB529E" w:rsidRDefault="00FB529E" w:rsidP="00806C87">
            <w:pPr>
              <w:jc w:val="right"/>
              <w:rPr>
                <w:rFonts w:ascii="Cambria" w:hAnsi="Cambria"/>
                <w:sz w:val="20"/>
                <w:szCs w:val="20"/>
                <w:lang w:val="en-GB"/>
              </w:rPr>
            </w:pPr>
          </w:p>
        </w:tc>
        <w:tc>
          <w:tcPr>
            <w:tcW w:w="1592" w:type="dxa"/>
            <w:tcBorders>
              <w:bottom w:val="single" w:sz="18" w:space="0" w:color="1F497D"/>
            </w:tcBorders>
            <w:vAlign w:val="center"/>
          </w:tcPr>
          <w:p w:rsidR="00FB529E" w:rsidRDefault="00FB529E" w:rsidP="00806C87">
            <w:pPr>
              <w:jc w:val="right"/>
              <w:rPr>
                <w:rFonts w:ascii="Cambria" w:hAnsi="Cambria"/>
                <w:sz w:val="20"/>
                <w:szCs w:val="20"/>
                <w:lang w:val="en-GB"/>
              </w:rPr>
            </w:pPr>
          </w:p>
        </w:tc>
        <w:tc>
          <w:tcPr>
            <w:tcW w:w="2410" w:type="dxa"/>
            <w:tcBorders>
              <w:bottom w:val="single" w:sz="18" w:space="0" w:color="1F497D"/>
              <w:right w:val="single" w:sz="18" w:space="0" w:color="1F497D"/>
            </w:tcBorders>
            <w:vAlign w:val="center"/>
          </w:tcPr>
          <w:p w:rsidR="00FB529E" w:rsidRPr="00417239" w:rsidRDefault="00FB529E" w:rsidP="00417239">
            <w:pPr>
              <w:jc w:val="right"/>
              <w:rPr>
                <w:rFonts w:ascii="Cambria" w:hAnsi="Cambria"/>
                <w:b/>
                <w:sz w:val="20"/>
                <w:szCs w:val="20"/>
                <w:u w:val="double"/>
                <w:lang w:val="en-GB"/>
              </w:rPr>
            </w:pPr>
            <w:r w:rsidRPr="00417239">
              <w:rPr>
                <w:rFonts w:ascii="Cambria" w:hAnsi="Cambria"/>
                <w:b/>
                <w:sz w:val="20"/>
                <w:szCs w:val="20"/>
                <w:u w:val="double"/>
                <w:lang w:val="en-GB"/>
              </w:rPr>
              <w:fldChar w:fldCharType="begin"/>
            </w:r>
            <w:r w:rsidRPr="00417239">
              <w:rPr>
                <w:rFonts w:ascii="Cambria" w:hAnsi="Cambria"/>
                <w:b/>
                <w:sz w:val="20"/>
                <w:szCs w:val="20"/>
                <w:u w:val="double"/>
                <w:lang w:val="en-GB"/>
              </w:rPr>
              <w:instrText xml:space="preserve"> =SUM(ABOVE) </w:instrText>
            </w:r>
            <w:r w:rsidRPr="00417239">
              <w:rPr>
                <w:rFonts w:ascii="Cambria" w:hAnsi="Cambria"/>
                <w:b/>
                <w:sz w:val="20"/>
                <w:szCs w:val="20"/>
                <w:u w:val="double"/>
                <w:lang w:val="en-GB"/>
              </w:rPr>
              <w:fldChar w:fldCharType="separate"/>
            </w:r>
            <w:r w:rsidRPr="00417239">
              <w:rPr>
                <w:rFonts w:ascii="Cambria" w:hAnsi="Cambria"/>
                <w:b/>
                <w:sz w:val="20"/>
                <w:szCs w:val="20"/>
                <w:u w:val="double"/>
                <w:lang w:val="en-GB"/>
              </w:rPr>
              <w:fldChar w:fldCharType="end"/>
            </w:r>
            <w:r w:rsidRPr="00417239">
              <w:rPr>
                <w:rFonts w:ascii="Cambria" w:hAnsi="Cambria"/>
                <w:b/>
                <w:sz w:val="20"/>
                <w:szCs w:val="20"/>
                <w:u w:val="double"/>
                <w:lang w:val="en-GB"/>
              </w:rPr>
              <w:fldChar w:fldCharType="begin"/>
            </w:r>
            <w:r w:rsidRPr="00417239">
              <w:rPr>
                <w:rFonts w:ascii="Cambria" w:hAnsi="Cambria"/>
                <w:b/>
                <w:sz w:val="20"/>
                <w:szCs w:val="20"/>
                <w:u w:val="double"/>
                <w:lang w:val="en-GB"/>
              </w:rPr>
              <w:instrText xml:space="preserve"> =SUM(ABOVE) </w:instrText>
            </w:r>
            <w:r w:rsidRPr="00417239">
              <w:rPr>
                <w:rFonts w:ascii="Cambria" w:hAnsi="Cambria"/>
                <w:b/>
                <w:sz w:val="20"/>
                <w:szCs w:val="20"/>
                <w:u w:val="double"/>
                <w:lang w:val="en-GB"/>
              </w:rPr>
              <w:fldChar w:fldCharType="separate"/>
            </w:r>
            <w:r w:rsidRPr="00417239">
              <w:rPr>
                <w:rFonts w:ascii="Cambria" w:hAnsi="Cambria"/>
                <w:b/>
                <w:noProof/>
                <w:sz w:val="20"/>
                <w:szCs w:val="20"/>
                <w:u w:val="double"/>
                <w:lang w:val="en-GB"/>
              </w:rPr>
              <w:t>50,689</w:t>
            </w:r>
            <w:r w:rsidRPr="00417239">
              <w:rPr>
                <w:rFonts w:ascii="Cambria" w:hAnsi="Cambria"/>
                <w:b/>
                <w:sz w:val="20"/>
                <w:szCs w:val="20"/>
                <w:u w:val="double"/>
                <w:lang w:val="en-GB"/>
              </w:rPr>
              <w:fldChar w:fldCharType="end"/>
            </w:r>
          </w:p>
        </w:tc>
      </w:tr>
    </w:tbl>
    <w:p w:rsidR="00FB529E" w:rsidRPr="00C044DC" w:rsidRDefault="00FB529E" w:rsidP="00102F1C">
      <w:pPr>
        <w:tabs>
          <w:tab w:val="left" w:pos="142"/>
        </w:tabs>
        <w:ind w:left="-993"/>
        <w:rPr>
          <w:rFonts w:ascii="Cambria" w:hAnsi="Cambria"/>
          <w:i/>
          <w:sz w:val="20"/>
          <w:szCs w:val="20"/>
        </w:rPr>
      </w:pPr>
      <w:r>
        <w:rPr>
          <w:rFonts w:ascii="Cambria" w:hAnsi="Cambria"/>
          <w:i/>
          <w:sz w:val="20"/>
          <w:szCs w:val="20"/>
        </w:rPr>
        <w:tab/>
        <w:t xml:space="preserve">Source: </w:t>
      </w:r>
      <w:r w:rsidRPr="00C044DC">
        <w:rPr>
          <w:rFonts w:ascii="Cambria" w:hAnsi="Cambria"/>
          <w:i/>
          <w:sz w:val="20"/>
          <w:szCs w:val="20"/>
        </w:rPr>
        <w:t xml:space="preserve">HSE Performance Reports. </w:t>
      </w:r>
      <w:r>
        <w:rPr>
          <w:rFonts w:ascii="Cambria" w:hAnsi="Cambria"/>
          <w:i/>
          <w:sz w:val="20"/>
          <w:szCs w:val="20"/>
        </w:rPr>
        <w:t xml:space="preserve"> </w:t>
      </w:r>
    </w:p>
    <w:p w:rsidR="00FB529E" w:rsidRDefault="00FB529E" w:rsidP="00C044DC">
      <w:pPr>
        <w:tabs>
          <w:tab w:val="left" w:pos="960"/>
        </w:tabs>
        <w:rPr>
          <w:rFonts w:ascii="Cambria" w:eastAsia="Times New Roman" w:hAnsi="Cambria"/>
          <w:b/>
          <w:bCs/>
          <w:sz w:val="20"/>
          <w:szCs w:val="20"/>
        </w:rPr>
      </w:pPr>
    </w:p>
    <w:p w:rsidR="00FB529E" w:rsidRPr="00C044DC" w:rsidRDefault="00FB529E" w:rsidP="00C044DC">
      <w:pPr>
        <w:tabs>
          <w:tab w:val="left" w:pos="960"/>
        </w:tabs>
        <w:rPr>
          <w:rFonts w:ascii="Cambria" w:eastAsia="Times New Roman" w:hAnsi="Cambria"/>
          <w:b/>
          <w:bCs/>
          <w:sz w:val="20"/>
          <w:szCs w:val="20"/>
        </w:rPr>
      </w:pPr>
    </w:p>
    <w:p w:rsidR="00FB529E" w:rsidRPr="00F2337D" w:rsidRDefault="00FB529E" w:rsidP="00DC1621">
      <w:pPr>
        <w:shd w:val="clear" w:color="auto" w:fill="EEECE1"/>
        <w:tabs>
          <w:tab w:val="left" w:pos="960"/>
        </w:tabs>
        <w:rPr>
          <w:b/>
          <w:sz w:val="20"/>
          <w:szCs w:val="20"/>
          <w:lang w:val="en-GB"/>
        </w:rPr>
      </w:pPr>
      <w:r w:rsidRPr="00F2337D">
        <w:rPr>
          <w:b/>
          <w:sz w:val="20"/>
          <w:szCs w:val="20"/>
          <w:lang w:val="en-GB"/>
        </w:rPr>
        <w:t>IHCA Submission</w:t>
      </w:r>
    </w:p>
    <w:p w:rsidR="00FB529E" w:rsidRPr="00102F1C" w:rsidRDefault="00FB529E" w:rsidP="00C314D3">
      <w:pPr>
        <w:pStyle w:val="ListParagraph"/>
        <w:shd w:val="clear" w:color="auto" w:fill="EEECE1"/>
        <w:ind w:left="0"/>
        <w:rPr>
          <w:sz w:val="20"/>
          <w:szCs w:val="20"/>
        </w:rPr>
      </w:pPr>
      <w:r>
        <w:rPr>
          <w:sz w:val="20"/>
          <w:szCs w:val="20"/>
          <w:lang w:val="en-GB"/>
        </w:rPr>
        <w:t>There were 50,689 patients awaiting elective care in May 2014; a 5% increase on May 2013</w:t>
      </w:r>
      <w:r w:rsidRPr="00F75478">
        <w:rPr>
          <w:sz w:val="20"/>
          <w:szCs w:val="20"/>
          <w:lang w:val="en-GB"/>
        </w:rPr>
        <w:t>.</w:t>
      </w:r>
      <w:r>
        <w:rPr>
          <w:sz w:val="20"/>
          <w:szCs w:val="20"/>
          <w:lang w:val="en-GB"/>
        </w:rPr>
        <w:t xml:space="preserve"> It is clear that the deep acute hospital budget cuts have increased the number of patients awaiting day case treatment. </w:t>
      </w:r>
      <w:r w:rsidRPr="00102F1C">
        <w:rPr>
          <w:sz w:val="20"/>
          <w:szCs w:val="20"/>
          <w:lang w:val="en-GB"/>
        </w:rPr>
        <w:t>It is essential that hospital budgets are based on</w:t>
      </w:r>
      <w:r>
        <w:rPr>
          <w:sz w:val="20"/>
          <w:szCs w:val="20"/>
          <w:lang w:val="en-GB"/>
        </w:rPr>
        <w:t xml:space="preserve"> more</w:t>
      </w:r>
      <w:r w:rsidRPr="00102F1C">
        <w:rPr>
          <w:sz w:val="20"/>
          <w:szCs w:val="20"/>
          <w:lang w:val="en-GB"/>
        </w:rPr>
        <w:t xml:space="preserve"> realistic estimates of projected demand, </w:t>
      </w:r>
      <w:r>
        <w:rPr>
          <w:sz w:val="20"/>
          <w:szCs w:val="20"/>
        </w:rPr>
        <w:t xml:space="preserve">so that acute hospitals can </w:t>
      </w:r>
      <w:r w:rsidRPr="00102F1C">
        <w:rPr>
          <w:sz w:val="20"/>
          <w:szCs w:val="20"/>
        </w:rPr>
        <w:t>provide care to an increasing number of patients</w:t>
      </w:r>
      <w:r>
        <w:rPr>
          <w:sz w:val="20"/>
          <w:szCs w:val="20"/>
        </w:rPr>
        <w:t xml:space="preserve"> without delays</w:t>
      </w:r>
      <w:r w:rsidRPr="00102F1C">
        <w:rPr>
          <w:sz w:val="20"/>
          <w:szCs w:val="20"/>
        </w:rPr>
        <w:t>.</w:t>
      </w:r>
    </w:p>
    <w:p w:rsidR="00FB529E" w:rsidRDefault="00FB529E" w:rsidP="001752F3">
      <w:pPr>
        <w:rPr>
          <w:rFonts w:eastAsia="Times New Roman"/>
          <w:b/>
          <w:bCs/>
          <w:sz w:val="20"/>
          <w:szCs w:val="20"/>
        </w:rPr>
      </w:pPr>
    </w:p>
    <w:p w:rsidR="00FB529E" w:rsidRPr="00264FA2" w:rsidRDefault="00FB529E" w:rsidP="00FB529E">
      <w:pPr>
        <w:numPr>
          <w:ilvl w:val="1"/>
          <w:numId w:val="8"/>
        </w:numPr>
        <w:ind w:left="0"/>
        <w:jc w:val="both"/>
        <w:rPr>
          <w:rFonts w:eastAsia="Times New Roman"/>
          <w:bCs/>
          <w:sz w:val="20"/>
          <w:szCs w:val="20"/>
        </w:rPr>
      </w:pPr>
      <w:r w:rsidRPr="00264FA2">
        <w:rPr>
          <w:rFonts w:eastAsia="Times New Roman"/>
          <w:bCs/>
          <w:sz w:val="20"/>
          <w:szCs w:val="20"/>
        </w:rPr>
        <w:t>Outpatient Waiting Lists.</w:t>
      </w:r>
    </w:p>
    <w:p w:rsidR="00FB529E" w:rsidRDefault="00FB529E" w:rsidP="00A11BC1">
      <w:pPr>
        <w:rPr>
          <w:sz w:val="20"/>
          <w:szCs w:val="20"/>
          <w:lang w:val="en-GB"/>
        </w:rPr>
      </w:pPr>
      <w:r w:rsidRPr="00EA1473">
        <w:rPr>
          <w:sz w:val="20"/>
          <w:szCs w:val="20"/>
          <w:lang w:val="en-GB"/>
        </w:rPr>
        <w:t>The data</w:t>
      </w:r>
      <w:r>
        <w:rPr>
          <w:sz w:val="20"/>
          <w:szCs w:val="20"/>
          <w:lang w:val="en-GB"/>
        </w:rPr>
        <w:t xml:space="preserve"> in Figure 6 </w:t>
      </w:r>
      <w:r w:rsidRPr="00EA1473">
        <w:rPr>
          <w:sz w:val="20"/>
          <w:szCs w:val="20"/>
          <w:lang w:val="en-GB"/>
        </w:rPr>
        <w:t xml:space="preserve">records the current total number of </w:t>
      </w:r>
      <w:r>
        <w:rPr>
          <w:sz w:val="20"/>
          <w:szCs w:val="20"/>
          <w:lang w:val="en-GB"/>
        </w:rPr>
        <w:t>out</w:t>
      </w:r>
      <w:r w:rsidRPr="00EA1473">
        <w:rPr>
          <w:sz w:val="20"/>
          <w:szCs w:val="20"/>
          <w:lang w:val="en-GB"/>
        </w:rPr>
        <w:t>patients waiting for their first consultant appointment. In each of the highlighted categories (0-6 months, 6-12 months, over 12 months and totals</w:t>
      </w:r>
      <w:r>
        <w:rPr>
          <w:sz w:val="20"/>
          <w:szCs w:val="20"/>
          <w:lang w:val="en-GB"/>
        </w:rPr>
        <w:t xml:space="preserve">), the number of outpatients </w:t>
      </w:r>
      <w:r w:rsidRPr="00EA1473">
        <w:rPr>
          <w:sz w:val="20"/>
          <w:szCs w:val="20"/>
          <w:lang w:val="en-GB"/>
        </w:rPr>
        <w:t>waiting has increased fro</w:t>
      </w:r>
      <w:r>
        <w:rPr>
          <w:sz w:val="20"/>
          <w:szCs w:val="20"/>
          <w:lang w:val="en-GB"/>
        </w:rPr>
        <w:t>m February 2014 through to May</w:t>
      </w:r>
      <w:r w:rsidRPr="00EA1473">
        <w:rPr>
          <w:sz w:val="20"/>
          <w:szCs w:val="20"/>
          <w:lang w:val="en-GB"/>
        </w:rPr>
        <w:t xml:space="preserve"> 2014 </w:t>
      </w:r>
      <w:r>
        <w:rPr>
          <w:sz w:val="20"/>
          <w:szCs w:val="20"/>
          <w:lang w:val="en-GB"/>
        </w:rPr>
        <w:t>as has the number waiting for 0-6 and 6 -12 months compared with May 2013</w:t>
      </w:r>
      <w:r w:rsidRPr="00F2337D">
        <w:rPr>
          <w:sz w:val="20"/>
          <w:szCs w:val="20"/>
          <w:lang w:val="en-GB"/>
        </w:rPr>
        <w:t>.</w:t>
      </w:r>
      <w:r>
        <w:t xml:space="preserve"> </w:t>
      </w:r>
      <w:r>
        <w:rPr>
          <w:sz w:val="20"/>
          <w:szCs w:val="20"/>
          <w:lang w:val="en-GB"/>
        </w:rPr>
        <w:t xml:space="preserve"> </w:t>
      </w:r>
    </w:p>
    <w:p w:rsidR="00FB529E" w:rsidRDefault="00FB529E" w:rsidP="00A11BC1"/>
    <w:p w:rsidR="00FB529E" w:rsidRDefault="00FB529E" w:rsidP="00A11BC1"/>
    <w:p w:rsidR="00FB529E" w:rsidRPr="00BD2B29" w:rsidRDefault="00FB529E" w:rsidP="00A11BC1"/>
    <w:p w:rsidR="00FB529E" w:rsidRPr="00EA1473" w:rsidRDefault="00FB529E" w:rsidP="003D6D57">
      <w:pPr>
        <w:keepNext/>
      </w:pPr>
      <w:r>
        <w:rPr>
          <w:b/>
          <w:i/>
          <w:sz w:val="20"/>
          <w:szCs w:val="20"/>
        </w:rPr>
        <w:t>Figure 6</w:t>
      </w:r>
      <w:r w:rsidRPr="00EA1473">
        <w:rPr>
          <w:b/>
          <w:i/>
          <w:sz w:val="20"/>
          <w:szCs w:val="20"/>
        </w:rPr>
        <w:t>:  Outpatient Waiting List; 2013/2014</w:t>
      </w:r>
    </w:p>
    <w:p w:rsidR="00FB529E" w:rsidRDefault="00FB529E" w:rsidP="00C044DC">
      <w:pPr>
        <w:tabs>
          <w:tab w:val="left" w:pos="960"/>
        </w:tabs>
        <w:rPr>
          <w:b/>
          <w:i/>
          <w:sz w:val="20"/>
          <w:szCs w:val="20"/>
        </w:rPr>
      </w:pPr>
      <w:r w:rsidRPr="00D07C7F">
        <w:rPr>
          <w:noProof/>
          <w:color w:val="1F497D"/>
        </w:rPr>
        <w:pict>
          <v:shape id="_x0000_i1031" type="#_x0000_t75" style="width:469.5pt;height:279.75pt;visibility:visible" o:gfxdata="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">
            <v:imagedata r:id="rId17" o:title=""/>
            <o:lock v:ext="edit" aspectratio="f"/>
          </v:shape>
        </w:pict>
      </w:r>
    </w:p>
    <w:p w:rsidR="00FB529E" w:rsidRDefault="00FB529E" w:rsidP="00C044DC">
      <w:pPr>
        <w:tabs>
          <w:tab w:val="left" w:pos="960"/>
        </w:tabs>
        <w:rPr>
          <w:b/>
          <w:i/>
          <w:sz w:val="20"/>
          <w:szCs w:val="20"/>
        </w:rPr>
      </w:pPr>
    </w:p>
    <w:p w:rsidR="00FB529E" w:rsidRPr="00C044DC" w:rsidRDefault="00FB529E" w:rsidP="00C044DC">
      <w:pPr>
        <w:tabs>
          <w:tab w:val="left" w:pos="960"/>
        </w:tabs>
        <w:rPr>
          <w:b/>
          <w:i/>
          <w:sz w:val="20"/>
          <w:szCs w:val="20"/>
        </w:rPr>
      </w:pPr>
    </w:p>
    <w:tbl>
      <w:tblPr>
        <w:tblW w:w="9608" w:type="dxa"/>
        <w:tblInd w:w="108" w:type="dxa"/>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2978"/>
        <w:gridCol w:w="1560"/>
        <w:gridCol w:w="1559"/>
        <w:gridCol w:w="1701"/>
        <w:gridCol w:w="1810"/>
      </w:tblGrid>
      <w:tr w:rsidR="00FB529E" w:rsidRPr="00C044DC" w:rsidTr="00B075A7">
        <w:trPr>
          <w:trHeight w:val="371"/>
        </w:trPr>
        <w:tc>
          <w:tcPr>
            <w:tcW w:w="2978" w:type="dxa"/>
            <w:shd w:val="clear" w:color="auto" w:fill="C6D9F1"/>
          </w:tcPr>
          <w:p w:rsidR="00FB529E" w:rsidRPr="00C044DC" w:rsidRDefault="00FB529E" w:rsidP="00C044DC">
            <w:pPr>
              <w:spacing w:before="100" w:beforeAutospacing="1" w:after="100" w:afterAutospacing="1"/>
              <w:rPr>
                <w:rFonts w:ascii="Cambria" w:hAnsi="Cambria"/>
                <w:sz w:val="20"/>
                <w:szCs w:val="20"/>
                <w:lang w:val="en-GB"/>
              </w:rPr>
            </w:pPr>
            <w:r w:rsidRPr="00C044DC">
              <w:rPr>
                <w:rFonts w:ascii="Cambria" w:hAnsi="Cambria"/>
                <w:b/>
                <w:sz w:val="20"/>
                <w:szCs w:val="20"/>
                <w:lang w:val="en-GB"/>
              </w:rPr>
              <w:t>Outpatient Waiting List</w:t>
            </w:r>
          </w:p>
        </w:tc>
        <w:tc>
          <w:tcPr>
            <w:tcW w:w="1560" w:type="dxa"/>
            <w:shd w:val="clear" w:color="auto" w:fill="C6D9F1"/>
          </w:tcPr>
          <w:p w:rsidR="00FB529E" w:rsidRPr="00C044DC" w:rsidRDefault="00FB529E" w:rsidP="00C044DC">
            <w:pPr>
              <w:spacing w:before="100" w:beforeAutospacing="1" w:after="100" w:afterAutospacing="1"/>
              <w:rPr>
                <w:rFonts w:ascii="Cambria" w:hAnsi="Cambria"/>
                <w:b/>
                <w:sz w:val="20"/>
                <w:szCs w:val="20"/>
                <w:lang w:val="en-GB"/>
              </w:rPr>
            </w:pPr>
            <w:r w:rsidRPr="00C044DC">
              <w:rPr>
                <w:rFonts w:ascii="Cambria" w:hAnsi="Cambria"/>
                <w:b/>
                <w:sz w:val="20"/>
                <w:szCs w:val="20"/>
                <w:lang w:val="en-GB"/>
              </w:rPr>
              <w:t>0-6 months</w:t>
            </w:r>
          </w:p>
        </w:tc>
        <w:tc>
          <w:tcPr>
            <w:tcW w:w="1559" w:type="dxa"/>
            <w:shd w:val="clear" w:color="auto" w:fill="C6D9F1"/>
          </w:tcPr>
          <w:p w:rsidR="00FB529E" w:rsidRPr="00C044DC" w:rsidRDefault="00FB529E" w:rsidP="00C044DC">
            <w:pPr>
              <w:spacing w:before="100" w:beforeAutospacing="1" w:after="100" w:afterAutospacing="1"/>
              <w:rPr>
                <w:rFonts w:ascii="Cambria" w:hAnsi="Cambria"/>
                <w:b/>
                <w:sz w:val="20"/>
                <w:szCs w:val="20"/>
                <w:lang w:val="en-GB"/>
              </w:rPr>
            </w:pPr>
            <w:r w:rsidRPr="00C044DC">
              <w:rPr>
                <w:rFonts w:ascii="Cambria" w:hAnsi="Cambria"/>
                <w:b/>
                <w:sz w:val="20"/>
                <w:szCs w:val="20"/>
                <w:lang w:val="en-GB"/>
              </w:rPr>
              <w:t>6-12 mts</w:t>
            </w:r>
          </w:p>
        </w:tc>
        <w:tc>
          <w:tcPr>
            <w:tcW w:w="1701" w:type="dxa"/>
            <w:shd w:val="clear" w:color="auto" w:fill="C6D9F1"/>
          </w:tcPr>
          <w:p w:rsidR="00FB529E" w:rsidRPr="00C044DC" w:rsidRDefault="00FB529E" w:rsidP="00C044DC">
            <w:pPr>
              <w:spacing w:before="100" w:beforeAutospacing="1" w:after="100" w:afterAutospacing="1"/>
              <w:rPr>
                <w:rFonts w:ascii="Cambria" w:hAnsi="Cambria"/>
                <w:b/>
                <w:sz w:val="20"/>
                <w:szCs w:val="20"/>
                <w:lang w:val="en-GB"/>
              </w:rPr>
            </w:pPr>
            <w:r w:rsidRPr="00C044DC">
              <w:rPr>
                <w:rFonts w:ascii="Cambria" w:hAnsi="Cambria"/>
                <w:b/>
                <w:sz w:val="20"/>
                <w:szCs w:val="20"/>
                <w:lang w:val="en-GB"/>
              </w:rPr>
              <w:t>Over 12mts</w:t>
            </w:r>
          </w:p>
        </w:tc>
        <w:tc>
          <w:tcPr>
            <w:tcW w:w="1810" w:type="dxa"/>
            <w:shd w:val="clear" w:color="auto" w:fill="C6D9F1"/>
          </w:tcPr>
          <w:p w:rsidR="00FB529E" w:rsidRPr="00C044DC" w:rsidRDefault="00FB529E" w:rsidP="00C044DC">
            <w:pPr>
              <w:spacing w:before="100" w:beforeAutospacing="1" w:after="100" w:afterAutospacing="1"/>
              <w:rPr>
                <w:rFonts w:ascii="Cambria" w:hAnsi="Cambria"/>
                <w:b/>
                <w:sz w:val="20"/>
                <w:szCs w:val="20"/>
                <w:lang w:val="en-GB"/>
              </w:rPr>
            </w:pPr>
            <w:r w:rsidRPr="00C044DC">
              <w:rPr>
                <w:rFonts w:ascii="Cambria" w:hAnsi="Cambria"/>
                <w:b/>
                <w:sz w:val="20"/>
                <w:szCs w:val="20"/>
                <w:lang w:val="en-GB"/>
              </w:rPr>
              <w:t>Total</w:t>
            </w:r>
          </w:p>
        </w:tc>
      </w:tr>
      <w:tr w:rsidR="00FB529E" w:rsidRPr="00C044DC" w:rsidTr="00F75478">
        <w:trPr>
          <w:trHeight w:val="266"/>
        </w:trPr>
        <w:tc>
          <w:tcPr>
            <w:tcW w:w="2978" w:type="dxa"/>
            <w:shd w:val="clear" w:color="auto" w:fill="auto"/>
          </w:tcPr>
          <w:p w:rsidR="00FB529E" w:rsidRPr="00ED2CF5" w:rsidRDefault="00FB529E" w:rsidP="00827069">
            <w:pPr>
              <w:spacing w:before="100" w:beforeAutospacing="1"/>
              <w:rPr>
                <w:rFonts w:ascii="Cambria" w:hAnsi="Cambria"/>
                <w:b/>
                <w:sz w:val="20"/>
                <w:szCs w:val="20"/>
                <w:lang w:val="en-GB"/>
              </w:rPr>
            </w:pPr>
            <w:r w:rsidRPr="00C044DC">
              <w:rPr>
                <w:rFonts w:ascii="Cambria" w:hAnsi="Cambria"/>
                <w:b/>
                <w:sz w:val="20"/>
                <w:szCs w:val="20"/>
                <w:lang w:val="en-GB"/>
              </w:rPr>
              <w:t>April 2013</w:t>
            </w:r>
          </w:p>
        </w:tc>
        <w:tc>
          <w:tcPr>
            <w:tcW w:w="1560" w:type="dxa"/>
            <w:shd w:val="clear" w:color="auto" w:fill="auto"/>
          </w:tcPr>
          <w:p w:rsidR="00FB529E" w:rsidRPr="008D2F8A" w:rsidRDefault="00FB529E" w:rsidP="00F75478">
            <w:pPr>
              <w:spacing w:before="100" w:beforeAutospacing="1"/>
              <w:rPr>
                <w:rFonts w:ascii="Cambria" w:hAnsi="Cambria"/>
                <w:sz w:val="20"/>
                <w:szCs w:val="20"/>
                <w:lang w:val="en-GB"/>
              </w:rPr>
            </w:pPr>
            <w:r>
              <w:rPr>
                <w:rFonts w:ascii="Cambria" w:hAnsi="Cambria"/>
                <w:sz w:val="20"/>
                <w:szCs w:val="20"/>
                <w:lang w:val="en-GB"/>
              </w:rPr>
              <w:t>199,513</w:t>
            </w:r>
          </w:p>
        </w:tc>
        <w:tc>
          <w:tcPr>
            <w:tcW w:w="1559" w:type="dxa"/>
            <w:shd w:val="clear" w:color="auto" w:fill="auto"/>
          </w:tcPr>
          <w:p w:rsidR="00FB529E" w:rsidRPr="008D2F8A" w:rsidRDefault="00FB529E" w:rsidP="00F75478">
            <w:pPr>
              <w:spacing w:before="100" w:beforeAutospacing="1"/>
              <w:rPr>
                <w:rFonts w:ascii="Cambria" w:hAnsi="Cambria"/>
                <w:sz w:val="20"/>
                <w:szCs w:val="20"/>
                <w:lang w:val="en-GB"/>
              </w:rPr>
            </w:pPr>
            <w:r>
              <w:rPr>
                <w:rFonts w:ascii="Cambria" w:hAnsi="Cambria"/>
                <w:sz w:val="20"/>
                <w:szCs w:val="20"/>
                <w:lang w:val="en-GB"/>
              </w:rPr>
              <w:t>79,153</w:t>
            </w:r>
          </w:p>
        </w:tc>
        <w:tc>
          <w:tcPr>
            <w:tcW w:w="1701" w:type="dxa"/>
            <w:shd w:val="clear" w:color="auto" w:fill="auto"/>
          </w:tcPr>
          <w:p w:rsidR="00FB529E" w:rsidRPr="008D2F8A" w:rsidRDefault="00FB529E" w:rsidP="00F75478">
            <w:pPr>
              <w:spacing w:before="100" w:beforeAutospacing="1"/>
              <w:rPr>
                <w:rFonts w:ascii="Cambria" w:hAnsi="Cambria"/>
                <w:sz w:val="20"/>
                <w:szCs w:val="20"/>
                <w:lang w:val="en-GB"/>
              </w:rPr>
            </w:pPr>
            <w:r>
              <w:rPr>
                <w:rFonts w:ascii="Cambria" w:hAnsi="Cambria"/>
                <w:sz w:val="20"/>
                <w:szCs w:val="20"/>
                <w:lang w:val="en-GB"/>
              </w:rPr>
              <w:t>100,498</w:t>
            </w:r>
          </w:p>
        </w:tc>
        <w:tc>
          <w:tcPr>
            <w:tcW w:w="1810" w:type="dxa"/>
            <w:shd w:val="clear" w:color="auto" w:fill="auto"/>
          </w:tcPr>
          <w:p w:rsidR="00FB529E" w:rsidRPr="008D2F8A" w:rsidRDefault="00FB529E" w:rsidP="00F75478">
            <w:pPr>
              <w:spacing w:before="100" w:beforeAutospacing="1"/>
              <w:rPr>
                <w:rFonts w:ascii="Cambria" w:hAnsi="Cambria"/>
                <w:sz w:val="20"/>
                <w:szCs w:val="20"/>
                <w:lang w:val="en-GB"/>
              </w:rPr>
            </w:pPr>
            <w:r>
              <w:rPr>
                <w:rFonts w:ascii="Cambria" w:hAnsi="Cambria"/>
                <w:sz w:val="20"/>
                <w:szCs w:val="20"/>
                <w:lang w:val="en-GB"/>
              </w:rPr>
              <w:t>379164</w:t>
            </w:r>
          </w:p>
        </w:tc>
      </w:tr>
      <w:tr w:rsidR="00FB529E" w:rsidRPr="00C044DC" w:rsidTr="00C348D2">
        <w:trPr>
          <w:trHeight w:val="266"/>
        </w:trPr>
        <w:tc>
          <w:tcPr>
            <w:tcW w:w="2978" w:type="dxa"/>
            <w:shd w:val="clear" w:color="auto" w:fill="auto"/>
          </w:tcPr>
          <w:p w:rsidR="00FB529E" w:rsidRPr="0034354F" w:rsidRDefault="00FB529E" w:rsidP="00C348D2">
            <w:pPr>
              <w:spacing w:before="100" w:beforeAutospacing="1"/>
              <w:rPr>
                <w:rFonts w:ascii="Cambria" w:hAnsi="Cambria"/>
                <w:b/>
                <w:sz w:val="20"/>
                <w:szCs w:val="20"/>
                <w:lang w:val="en-GB"/>
              </w:rPr>
            </w:pPr>
            <w:r>
              <w:rPr>
                <w:rFonts w:ascii="Cambria" w:hAnsi="Cambria"/>
                <w:b/>
                <w:sz w:val="20"/>
                <w:szCs w:val="20"/>
                <w:lang w:val="en-GB"/>
              </w:rPr>
              <w:t>May</w:t>
            </w:r>
            <w:r w:rsidRPr="00C044DC">
              <w:rPr>
                <w:rFonts w:ascii="Cambria" w:hAnsi="Cambria"/>
                <w:b/>
                <w:sz w:val="20"/>
                <w:szCs w:val="20"/>
                <w:lang w:val="en-GB"/>
              </w:rPr>
              <w:t xml:space="preserve"> 2013</w:t>
            </w:r>
          </w:p>
        </w:tc>
        <w:tc>
          <w:tcPr>
            <w:tcW w:w="1560" w:type="dxa"/>
            <w:shd w:val="clear" w:color="auto" w:fill="auto"/>
          </w:tcPr>
          <w:p w:rsidR="00FB529E" w:rsidRPr="00C044DC" w:rsidRDefault="00FB529E" w:rsidP="00C348D2">
            <w:pPr>
              <w:spacing w:before="100" w:beforeAutospacing="1"/>
              <w:rPr>
                <w:rFonts w:ascii="Cambria" w:hAnsi="Cambria"/>
                <w:sz w:val="20"/>
                <w:szCs w:val="20"/>
                <w:lang w:val="en-GB"/>
              </w:rPr>
            </w:pPr>
            <w:r>
              <w:rPr>
                <w:rFonts w:ascii="Cambria" w:hAnsi="Cambria"/>
                <w:sz w:val="20"/>
                <w:szCs w:val="20"/>
                <w:lang w:val="en-GB"/>
              </w:rPr>
              <w:t>205,476</w:t>
            </w:r>
          </w:p>
        </w:tc>
        <w:tc>
          <w:tcPr>
            <w:tcW w:w="1559" w:type="dxa"/>
            <w:shd w:val="clear" w:color="auto" w:fill="auto"/>
          </w:tcPr>
          <w:p w:rsidR="00FB529E" w:rsidRPr="00C044DC" w:rsidRDefault="00FB529E" w:rsidP="00C348D2">
            <w:pPr>
              <w:spacing w:before="100" w:beforeAutospacing="1"/>
              <w:rPr>
                <w:rFonts w:ascii="Cambria" w:hAnsi="Cambria"/>
                <w:sz w:val="20"/>
                <w:szCs w:val="20"/>
                <w:lang w:val="en-GB"/>
              </w:rPr>
            </w:pPr>
            <w:r>
              <w:rPr>
                <w:rFonts w:ascii="Cambria" w:hAnsi="Cambria"/>
                <w:sz w:val="20"/>
                <w:szCs w:val="20"/>
                <w:lang w:val="en-GB"/>
              </w:rPr>
              <w:t>71,122</w:t>
            </w:r>
          </w:p>
        </w:tc>
        <w:tc>
          <w:tcPr>
            <w:tcW w:w="1701" w:type="dxa"/>
            <w:shd w:val="clear" w:color="auto" w:fill="auto"/>
          </w:tcPr>
          <w:p w:rsidR="00FB529E" w:rsidRPr="00C044DC" w:rsidRDefault="00FB529E" w:rsidP="00C348D2">
            <w:pPr>
              <w:spacing w:before="100" w:beforeAutospacing="1"/>
              <w:rPr>
                <w:rFonts w:ascii="Cambria" w:hAnsi="Cambria"/>
                <w:sz w:val="20"/>
                <w:szCs w:val="20"/>
                <w:lang w:val="en-GB"/>
              </w:rPr>
            </w:pPr>
            <w:r>
              <w:rPr>
                <w:rFonts w:ascii="Cambria" w:hAnsi="Cambria"/>
                <w:sz w:val="20"/>
                <w:szCs w:val="20"/>
                <w:lang w:val="en-GB"/>
              </w:rPr>
              <w:t>91,195</w:t>
            </w:r>
          </w:p>
        </w:tc>
        <w:tc>
          <w:tcPr>
            <w:tcW w:w="1810" w:type="dxa"/>
            <w:shd w:val="clear" w:color="auto" w:fill="auto"/>
          </w:tcPr>
          <w:p w:rsidR="00FB529E" w:rsidRPr="00C044DC" w:rsidRDefault="00FB529E" w:rsidP="00C348D2">
            <w:pPr>
              <w:spacing w:before="100" w:beforeAutospacing="1"/>
              <w:rPr>
                <w:rFonts w:ascii="Cambria" w:hAnsi="Cambria"/>
                <w:sz w:val="20"/>
                <w:szCs w:val="20"/>
                <w:lang w:val="en-GB"/>
              </w:rPr>
            </w:pPr>
            <w:r>
              <w:rPr>
                <w:rFonts w:ascii="Cambria" w:hAnsi="Cambria"/>
                <w:sz w:val="20"/>
                <w:szCs w:val="20"/>
                <w:lang w:val="en-GB"/>
              </w:rPr>
              <w:t>367,783</w:t>
            </w:r>
          </w:p>
        </w:tc>
      </w:tr>
      <w:tr w:rsidR="00FB529E" w:rsidRPr="00C044DC" w:rsidTr="001752F3">
        <w:trPr>
          <w:trHeight w:val="266"/>
        </w:trPr>
        <w:tc>
          <w:tcPr>
            <w:tcW w:w="2978" w:type="dxa"/>
            <w:shd w:val="clear" w:color="auto" w:fill="auto"/>
          </w:tcPr>
          <w:p w:rsidR="00FB529E" w:rsidRPr="00C044DC" w:rsidRDefault="00FB529E" w:rsidP="00C044DC">
            <w:pPr>
              <w:spacing w:before="100" w:beforeAutospacing="1"/>
              <w:rPr>
                <w:rFonts w:ascii="Cambria" w:hAnsi="Cambria"/>
                <w:sz w:val="20"/>
                <w:szCs w:val="20"/>
                <w:lang w:val="en-GB"/>
              </w:rPr>
            </w:pPr>
            <w:r w:rsidRPr="008D2F8A">
              <w:rPr>
                <w:rFonts w:ascii="Cambria" w:hAnsi="Cambria"/>
                <w:b/>
                <w:sz w:val="20"/>
                <w:szCs w:val="20"/>
                <w:lang w:val="en-GB"/>
              </w:rPr>
              <w:t>June 2013</w:t>
            </w:r>
          </w:p>
        </w:tc>
        <w:tc>
          <w:tcPr>
            <w:tcW w:w="1560" w:type="dxa"/>
            <w:shd w:val="clear" w:color="auto" w:fill="auto"/>
          </w:tcPr>
          <w:p w:rsidR="00FB529E" w:rsidRPr="00C044DC" w:rsidRDefault="00FB529E" w:rsidP="00C044DC">
            <w:pPr>
              <w:spacing w:before="100" w:beforeAutospacing="1"/>
              <w:rPr>
                <w:rFonts w:ascii="Cambria" w:hAnsi="Cambria"/>
                <w:sz w:val="20"/>
                <w:szCs w:val="20"/>
                <w:lang w:val="en-GB"/>
              </w:rPr>
            </w:pPr>
            <w:r w:rsidRPr="008D2F8A">
              <w:rPr>
                <w:rFonts w:ascii="Cambria" w:hAnsi="Cambria"/>
                <w:sz w:val="20"/>
                <w:szCs w:val="20"/>
                <w:lang w:val="en-GB"/>
              </w:rPr>
              <w:t>213,653</w:t>
            </w:r>
          </w:p>
        </w:tc>
        <w:tc>
          <w:tcPr>
            <w:tcW w:w="1559" w:type="dxa"/>
            <w:shd w:val="clear" w:color="auto" w:fill="auto"/>
          </w:tcPr>
          <w:p w:rsidR="00FB529E" w:rsidRPr="008D2F8A" w:rsidRDefault="00FB529E" w:rsidP="00ED2CF5">
            <w:pPr>
              <w:spacing w:before="100" w:beforeAutospacing="1"/>
              <w:rPr>
                <w:rFonts w:ascii="Cambria" w:hAnsi="Cambria"/>
                <w:sz w:val="20"/>
                <w:szCs w:val="20"/>
                <w:lang w:val="en-GB"/>
              </w:rPr>
            </w:pPr>
            <w:r w:rsidRPr="008D2F8A">
              <w:rPr>
                <w:rFonts w:ascii="Cambria" w:hAnsi="Cambria"/>
                <w:sz w:val="20"/>
                <w:szCs w:val="20"/>
                <w:lang w:val="en-GB"/>
              </w:rPr>
              <w:t>67,839</w:t>
            </w:r>
          </w:p>
        </w:tc>
        <w:tc>
          <w:tcPr>
            <w:tcW w:w="1701" w:type="dxa"/>
            <w:shd w:val="clear" w:color="auto" w:fill="auto"/>
          </w:tcPr>
          <w:p w:rsidR="00FB529E" w:rsidRPr="00C044DC" w:rsidRDefault="00FB529E" w:rsidP="00C044DC">
            <w:pPr>
              <w:spacing w:before="100" w:beforeAutospacing="1"/>
              <w:rPr>
                <w:rFonts w:ascii="Cambria" w:hAnsi="Cambria"/>
                <w:sz w:val="20"/>
                <w:szCs w:val="20"/>
                <w:lang w:val="en-GB"/>
              </w:rPr>
            </w:pPr>
            <w:r w:rsidRPr="008D2F8A">
              <w:rPr>
                <w:rFonts w:ascii="Cambria" w:hAnsi="Cambria"/>
                <w:sz w:val="20"/>
                <w:szCs w:val="20"/>
                <w:lang w:val="en-GB"/>
              </w:rPr>
              <w:t>87,847</w:t>
            </w:r>
          </w:p>
        </w:tc>
        <w:tc>
          <w:tcPr>
            <w:tcW w:w="1810" w:type="dxa"/>
            <w:shd w:val="clear" w:color="auto" w:fill="auto"/>
          </w:tcPr>
          <w:p w:rsidR="00FB529E" w:rsidRPr="00C044DC" w:rsidRDefault="00FB529E" w:rsidP="00C044DC">
            <w:pPr>
              <w:spacing w:before="100" w:beforeAutospacing="1"/>
              <w:rPr>
                <w:rFonts w:ascii="Cambria" w:hAnsi="Cambria"/>
                <w:sz w:val="20"/>
                <w:szCs w:val="20"/>
                <w:lang w:val="en-GB"/>
              </w:rPr>
            </w:pPr>
            <w:r w:rsidRPr="008D2F8A">
              <w:rPr>
                <w:rFonts w:ascii="Cambria" w:hAnsi="Cambria"/>
                <w:sz w:val="20"/>
                <w:szCs w:val="20"/>
                <w:lang w:val="en-GB"/>
              </w:rPr>
              <w:t>369,339</w:t>
            </w:r>
          </w:p>
        </w:tc>
      </w:tr>
      <w:tr w:rsidR="00FB529E" w:rsidRPr="00C044DC" w:rsidTr="001752F3">
        <w:trPr>
          <w:trHeight w:val="259"/>
        </w:trPr>
        <w:tc>
          <w:tcPr>
            <w:tcW w:w="2978" w:type="dxa"/>
            <w:shd w:val="clear" w:color="auto" w:fill="auto"/>
          </w:tcPr>
          <w:p w:rsidR="00FB529E" w:rsidRPr="00C044DC" w:rsidRDefault="00FB529E" w:rsidP="00827069">
            <w:pPr>
              <w:spacing w:before="100" w:beforeAutospacing="1"/>
              <w:rPr>
                <w:rFonts w:ascii="Cambria" w:hAnsi="Cambria"/>
                <w:b/>
                <w:sz w:val="20"/>
                <w:szCs w:val="20"/>
                <w:lang w:val="en-GB"/>
              </w:rPr>
            </w:pPr>
            <w:r w:rsidRPr="0034354F">
              <w:rPr>
                <w:rFonts w:ascii="Cambria" w:hAnsi="Cambria"/>
                <w:b/>
                <w:sz w:val="20"/>
                <w:szCs w:val="20"/>
                <w:lang w:val="en-GB"/>
              </w:rPr>
              <w:t>February 2014</w:t>
            </w:r>
          </w:p>
        </w:tc>
        <w:tc>
          <w:tcPr>
            <w:tcW w:w="1560" w:type="dxa"/>
            <w:shd w:val="clear" w:color="auto" w:fill="auto"/>
          </w:tcPr>
          <w:p w:rsidR="00FB529E" w:rsidRPr="00C044DC" w:rsidRDefault="00FB529E" w:rsidP="00C044DC">
            <w:pPr>
              <w:spacing w:before="100" w:beforeAutospacing="1" w:after="100" w:afterAutospacing="1"/>
              <w:rPr>
                <w:rFonts w:ascii="Cambria" w:hAnsi="Cambria"/>
                <w:sz w:val="20"/>
                <w:szCs w:val="20"/>
                <w:lang w:val="en-GB"/>
              </w:rPr>
            </w:pPr>
            <w:r>
              <w:rPr>
                <w:rFonts w:ascii="Cambria" w:hAnsi="Cambria"/>
                <w:sz w:val="20"/>
                <w:szCs w:val="20"/>
                <w:lang w:val="en-GB"/>
              </w:rPr>
              <w:t>220,992</w:t>
            </w:r>
          </w:p>
        </w:tc>
        <w:tc>
          <w:tcPr>
            <w:tcW w:w="1559" w:type="dxa"/>
            <w:shd w:val="clear" w:color="auto" w:fill="auto"/>
          </w:tcPr>
          <w:p w:rsidR="00FB529E" w:rsidRPr="00C044DC" w:rsidRDefault="00FB529E" w:rsidP="00ED2CF5">
            <w:pPr>
              <w:spacing w:before="100" w:beforeAutospacing="1"/>
              <w:rPr>
                <w:rFonts w:ascii="Cambria" w:hAnsi="Cambria"/>
                <w:sz w:val="20"/>
                <w:szCs w:val="20"/>
                <w:lang w:val="en-GB"/>
              </w:rPr>
            </w:pPr>
            <w:r>
              <w:rPr>
                <w:rFonts w:ascii="Cambria" w:hAnsi="Cambria"/>
                <w:sz w:val="20"/>
                <w:szCs w:val="20"/>
                <w:lang w:val="en-GB"/>
              </w:rPr>
              <w:t>88,874</w:t>
            </w:r>
          </w:p>
        </w:tc>
        <w:tc>
          <w:tcPr>
            <w:tcW w:w="1701" w:type="dxa"/>
            <w:shd w:val="clear" w:color="auto" w:fill="auto"/>
          </w:tcPr>
          <w:p w:rsidR="00FB529E" w:rsidRPr="00C044DC" w:rsidRDefault="00FB529E" w:rsidP="00C044DC">
            <w:pPr>
              <w:spacing w:before="100" w:beforeAutospacing="1" w:after="100" w:afterAutospacing="1"/>
              <w:rPr>
                <w:rFonts w:ascii="Cambria" w:hAnsi="Cambria"/>
                <w:sz w:val="20"/>
                <w:szCs w:val="20"/>
                <w:lang w:val="en-GB"/>
              </w:rPr>
            </w:pPr>
            <w:r>
              <w:rPr>
                <w:rFonts w:ascii="Cambria" w:hAnsi="Cambria"/>
                <w:sz w:val="20"/>
                <w:szCs w:val="20"/>
                <w:lang w:val="en-GB"/>
              </w:rPr>
              <w:t>13,438</w:t>
            </w:r>
          </w:p>
        </w:tc>
        <w:tc>
          <w:tcPr>
            <w:tcW w:w="1810" w:type="dxa"/>
            <w:shd w:val="clear" w:color="auto" w:fill="auto"/>
          </w:tcPr>
          <w:p w:rsidR="00FB529E" w:rsidRPr="00C044DC" w:rsidRDefault="00FB529E" w:rsidP="00C044DC">
            <w:pPr>
              <w:spacing w:before="100" w:beforeAutospacing="1" w:after="100" w:afterAutospacing="1"/>
              <w:rPr>
                <w:rFonts w:ascii="Cambria" w:hAnsi="Cambria"/>
                <w:sz w:val="20"/>
                <w:szCs w:val="20"/>
                <w:lang w:val="en-GB"/>
              </w:rPr>
            </w:pPr>
            <w:r>
              <w:rPr>
                <w:rFonts w:ascii="Cambria" w:hAnsi="Cambria"/>
                <w:sz w:val="20"/>
                <w:szCs w:val="20"/>
                <w:lang w:val="en-GB"/>
              </w:rPr>
              <w:t>323,304</w:t>
            </w:r>
          </w:p>
        </w:tc>
      </w:tr>
      <w:tr w:rsidR="00FB529E" w:rsidRPr="00C044DC" w:rsidTr="001752F3">
        <w:trPr>
          <w:trHeight w:val="246"/>
        </w:trPr>
        <w:tc>
          <w:tcPr>
            <w:tcW w:w="2978" w:type="dxa"/>
            <w:shd w:val="clear" w:color="auto" w:fill="auto"/>
          </w:tcPr>
          <w:p w:rsidR="00FB529E" w:rsidRPr="00C044DC" w:rsidRDefault="00FB529E" w:rsidP="00C044DC">
            <w:pPr>
              <w:spacing w:before="100" w:beforeAutospacing="1" w:after="100" w:afterAutospacing="1"/>
              <w:rPr>
                <w:rFonts w:ascii="Cambria" w:hAnsi="Cambria"/>
                <w:b/>
                <w:sz w:val="20"/>
                <w:szCs w:val="20"/>
                <w:lang w:val="en-GB"/>
              </w:rPr>
            </w:pPr>
            <w:r>
              <w:rPr>
                <w:rFonts w:ascii="Cambria" w:hAnsi="Cambria"/>
                <w:b/>
                <w:sz w:val="20"/>
                <w:szCs w:val="20"/>
                <w:lang w:val="en-GB"/>
              </w:rPr>
              <w:t>May</w:t>
            </w:r>
            <w:r w:rsidRPr="00ED2CF5">
              <w:rPr>
                <w:rFonts w:ascii="Cambria" w:hAnsi="Cambria"/>
                <w:b/>
                <w:sz w:val="20"/>
                <w:szCs w:val="20"/>
                <w:lang w:val="en-GB"/>
              </w:rPr>
              <w:t xml:space="preserve"> 2014</w:t>
            </w:r>
          </w:p>
        </w:tc>
        <w:tc>
          <w:tcPr>
            <w:tcW w:w="1560" w:type="dxa"/>
            <w:shd w:val="clear" w:color="auto" w:fill="auto"/>
          </w:tcPr>
          <w:p w:rsidR="00FB529E" w:rsidRPr="00C044DC" w:rsidRDefault="00FB529E" w:rsidP="00ED2CF5">
            <w:pPr>
              <w:spacing w:before="100" w:beforeAutospacing="1"/>
              <w:rPr>
                <w:rFonts w:ascii="Cambria" w:hAnsi="Cambria"/>
                <w:sz w:val="20"/>
                <w:szCs w:val="20"/>
                <w:lang w:val="en-GB"/>
              </w:rPr>
            </w:pPr>
            <w:r>
              <w:rPr>
                <w:rFonts w:ascii="Cambria" w:hAnsi="Cambria"/>
                <w:sz w:val="20"/>
                <w:szCs w:val="20"/>
                <w:lang w:val="en-GB"/>
              </w:rPr>
              <w:t>223,498</w:t>
            </w:r>
          </w:p>
        </w:tc>
        <w:tc>
          <w:tcPr>
            <w:tcW w:w="1559" w:type="dxa"/>
            <w:shd w:val="clear" w:color="auto" w:fill="auto"/>
          </w:tcPr>
          <w:p w:rsidR="00FB529E" w:rsidRPr="00C044DC" w:rsidRDefault="00FB529E" w:rsidP="00C044DC">
            <w:pPr>
              <w:spacing w:before="100" w:beforeAutospacing="1" w:after="100" w:afterAutospacing="1"/>
              <w:rPr>
                <w:rFonts w:ascii="Cambria" w:hAnsi="Cambria"/>
                <w:sz w:val="20"/>
                <w:szCs w:val="20"/>
                <w:lang w:val="en-GB"/>
              </w:rPr>
            </w:pPr>
            <w:r>
              <w:rPr>
                <w:rFonts w:ascii="Cambria" w:hAnsi="Cambria"/>
                <w:sz w:val="20"/>
                <w:szCs w:val="20"/>
                <w:lang w:val="en-GB"/>
              </w:rPr>
              <w:t>91,729</w:t>
            </w:r>
          </w:p>
        </w:tc>
        <w:tc>
          <w:tcPr>
            <w:tcW w:w="1701" w:type="dxa"/>
            <w:shd w:val="clear" w:color="auto" w:fill="auto"/>
          </w:tcPr>
          <w:p w:rsidR="00FB529E" w:rsidRPr="00C044DC" w:rsidRDefault="00FB529E" w:rsidP="00ED2CF5">
            <w:pPr>
              <w:spacing w:before="100" w:beforeAutospacing="1"/>
              <w:rPr>
                <w:rFonts w:ascii="Cambria" w:hAnsi="Cambria"/>
                <w:sz w:val="20"/>
                <w:szCs w:val="20"/>
                <w:lang w:val="en-GB"/>
              </w:rPr>
            </w:pPr>
            <w:r>
              <w:rPr>
                <w:rFonts w:ascii="Cambria" w:hAnsi="Cambria"/>
                <w:sz w:val="20"/>
                <w:szCs w:val="20"/>
                <w:lang w:val="en-GB"/>
              </w:rPr>
              <w:t>28,185</w:t>
            </w:r>
          </w:p>
        </w:tc>
        <w:tc>
          <w:tcPr>
            <w:tcW w:w="1810" w:type="dxa"/>
            <w:shd w:val="clear" w:color="auto" w:fill="auto"/>
          </w:tcPr>
          <w:p w:rsidR="00FB529E" w:rsidRPr="008D2F8A" w:rsidRDefault="00FB529E" w:rsidP="0028224E">
            <w:pPr>
              <w:spacing w:before="100" w:beforeAutospacing="1"/>
              <w:rPr>
                <w:rFonts w:ascii="Cambria" w:hAnsi="Cambria"/>
                <w:sz w:val="20"/>
                <w:szCs w:val="20"/>
                <w:lang w:val="en-GB"/>
              </w:rPr>
            </w:pPr>
            <w:r>
              <w:rPr>
                <w:rFonts w:ascii="Cambria" w:hAnsi="Cambria"/>
                <w:sz w:val="20"/>
                <w:szCs w:val="20"/>
                <w:lang w:val="en-GB"/>
              </w:rPr>
              <w:t>343,412</w:t>
            </w:r>
          </w:p>
        </w:tc>
      </w:tr>
    </w:tbl>
    <w:p w:rsidR="00FB529E" w:rsidRDefault="00FB529E" w:rsidP="00C044DC">
      <w:pPr>
        <w:tabs>
          <w:tab w:val="left" w:pos="960"/>
        </w:tabs>
        <w:rPr>
          <w:rFonts w:ascii="Cambria" w:hAnsi="Cambria"/>
          <w:i/>
          <w:sz w:val="20"/>
          <w:szCs w:val="20"/>
        </w:rPr>
      </w:pPr>
      <w:r w:rsidRPr="00C044DC">
        <w:rPr>
          <w:rFonts w:ascii="Cambria" w:hAnsi="Cambria"/>
          <w:i/>
          <w:sz w:val="20"/>
          <w:szCs w:val="20"/>
        </w:rPr>
        <w:t>Source: Na</w:t>
      </w:r>
      <w:r>
        <w:rPr>
          <w:rFonts w:ascii="Cambria" w:hAnsi="Cambria"/>
          <w:i/>
          <w:sz w:val="20"/>
          <w:szCs w:val="20"/>
        </w:rPr>
        <w:t>tional Treatment Purchase Fund and May 2014 HSE Performance Reports.</w:t>
      </w:r>
    </w:p>
    <w:p w:rsidR="00FB529E" w:rsidRPr="00F2337D" w:rsidRDefault="00FB529E" w:rsidP="00C044DC">
      <w:pPr>
        <w:tabs>
          <w:tab w:val="left" w:pos="960"/>
        </w:tabs>
        <w:rPr>
          <w:i/>
          <w:sz w:val="20"/>
          <w:szCs w:val="20"/>
        </w:rPr>
      </w:pPr>
    </w:p>
    <w:p w:rsidR="00FB529E" w:rsidRDefault="00FB529E" w:rsidP="00FB529E">
      <w:pPr>
        <w:numPr>
          <w:ilvl w:val="1"/>
          <w:numId w:val="8"/>
        </w:numPr>
        <w:ind w:left="0"/>
        <w:jc w:val="both"/>
        <w:rPr>
          <w:sz w:val="20"/>
          <w:szCs w:val="20"/>
          <w:lang w:val="en-GB"/>
        </w:rPr>
      </w:pPr>
      <w:r>
        <w:rPr>
          <w:sz w:val="20"/>
          <w:szCs w:val="20"/>
          <w:lang w:val="en-GB"/>
        </w:rPr>
        <w:t>While the total number of patients on waiting lists declined from April 2013 to February 2014, the numbers waiting have started to increase again for all lengths of wait.</w:t>
      </w:r>
    </w:p>
    <w:p w:rsidR="00FB529E" w:rsidRDefault="00FB529E" w:rsidP="007D2914">
      <w:pPr>
        <w:rPr>
          <w:sz w:val="20"/>
          <w:szCs w:val="20"/>
          <w:lang w:val="en-GB"/>
        </w:rPr>
      </w:pPr>
    </w:p>
    <w:p w:rsidR="00FB529E" w:rsidRPr="00F2337D" w:rsidRDefault="00FB529E" w:rsidP="00FB529E">
      <w:pPr>
        <w:numPr>
          <w:ilvl w:val="1"/>
          <w:numId w:val="8"/>
        </w:numPr>
        <w:ind w:left="0"/>
        <w:jc w:val="both"/>
        <w:rPr>
          <w:sz w:val="20"/>
          <w:szCs w:val="20"/>
          <w:lang w:val="en-GB"/>
        </w:rPr>
      </w:pPr>
      <w:r w:rsidRPr="00F2337D">
        <w:rPr>
          <w:sz w:val="20"/>
          <w:szCs w:val="20"/>
          <w:lang w:val="en-GB"/>
        </w:rPr>
        <w:t xml:space="preserve">The principal reasons for </w:t>
      </w:r>
      <w:r>
        <w:rPr>
          <w:sz w:val="20"/>
          <w:szCs w:val="20"/>
          <w:lang w:val="en-GB"/>
        </w:rPr>
        <w:t>the</w:t>
      </w:r>
      <w:r w:rsidRPr="00F2337D">
        <w:rPr>
          <w:sz w:val="20"/>
          <w:szCs w:val="20"/>
          <w:lang w:val="en-GB"/>
        </w:rPr>
        <w:t xml:space="preserve"> waiting lists include:</w:t>
      </w:r>
    </w:p>
    <w:p w:rsidR="00FB529E" w:rsidRDefault="00FB529E" w:rsidP="00FB529E">
      <w:pPr>
        <w:numPr>
          <w:ilvl w:val="0"/>
          <w:numId w:val="6"/>
        </w:numPr>
        <w:jc w:val="both"/>
        <w:rPr>
          <w:b/>
          <w:sz w:val="20"/>
          <w:szCs w:val="20"/>
          <w:lang w:val="en-GB"/>
        </w:rPr>
      </w:pPr>
      <w:r w:rsidRPr="00F2337D">
        <w:rPr>
          <w:b/>
          <w:sz w:val="20"/>
          <w:szCs w:val="20"/>
          <w:lang w:val="en-GB"/>
        </w:rPr>
        <w:t xml:space="preserve">A lack of frontline resources </w:t>
      </w:r>
      <w:r w:rsidRPr="00F2337D">
        <w:rPr>
          <w:sz w:val="20"/>
          <w:szCs w:val="20"/>
          <w:lang w:val="en-GB"/>
        </w:rPr>
        <w:t>to cater for the overall level of inpatient, day-case and outpatient demand.</w:t>
      </w:r>
      <w:r w:rsidRPr="00F2337D">
        <w:rPr>
          <w:b/>
          <w:sz w:val="20"/>
          <w:szCs w:val="20"/>
          <w:lang w:val="en-GB"/>
        </w:rPr>
        <w:t xml:space="preserve"> </w:t>
      </w:r>
    </w:p>
    <w:p w:rsidR="00FB529E" w:rsidRPr="007654B1" w:rsidRDefault="00FB529E" w:rsidP="00FB529E">
      <w:pPr>
        <w:numPr>
          <w:ilvl w:val="0"/>
          <w:numId w:val="6"/>
        </w:numPr>
        <w:jc w:val="both"/>
        <w:rPr>
          <w:b/>
          <w:sz w:val="20"/>
          <w:szCs w:val="20"/>
          <w:lang w:val="en-GB"/>
        </w:rPr>
      </w:pPr>
      <w:r w:rsidRPr="007654B1">
        <w:rPr>
          <w:b/>
          <w:sz w:val="20"/>
          <w:szCs w:val="20"/>
          <w:lang w:val="en-GB"/>
        </w:rPr>
        <w:lastRenderedPageBreak/>
        <w:t>Insufficient consultant &amp; doctor staffing</w:t>
      </w:r>
      <w:r>
        <w:rPr>
          <w:b/>
          <w:sz w:val="20"/>
          <w:szCs w:val="20"/>
          <w:lang w:val="en-GB"/>
        </w:rPr>
        <w:t xml:space="preserve"> levels </w:t>
      </w:r>
      <w:r w:rsidRPr="00146C85">
        <w:rPr>
          <w:sz w:val="20"/>
          <w:szCs w:val="20"/>
          <w:lang w:val="en-GB"/>
        </w:rPr>
        <w:t>as</w:t>
      </w:r>
      <w:r>
        <w:rPr>
          <w:b/>
          <w:sz w:val="20"/>
          <w:szCs w:val="20"/>
          <w:lang w:val="en-GB"/>
        </w:rPr>
        <w:t xml:space="preserve"> </w:t>
      </w:r>
      <w:r w:rsidRPr="007654B1">
        <w:rPr>
          <w:sz w:val="20"/>
          <w:szCs w:val="20"/>
          <w:lang w:val="en-GB"/>
        </w:rPr>
        <w:t xml:space="preserve">Ireland has around two thirds the number of hospital consultants recommended in the Hanly Report a decade ago. Based on the number of doctors licensed to practice, </w:t>
      </w:r>
      <w:r>
        <w:rPr>
          <w:sz w:val="20"/>
          <w:szCs w:val="20"/>
          <w:lang w:val="en-GB"/>
        </w:rPr>
        <w:t>Ireland has 2.7 doctors per thousand</w:t>
      </w:r>
      <w:r w:rsidRPr="007654B1">
        <w:rPr>
          <w:sz w:val="20"/>
          <w:szCs w:val="20"/>
          <w:lang w:val="en-GB"/>
        </w:rPr>
        <w:t xml:space="preserve"> population according to the OECD Health at a Glance 2013 Report.  On that basis, Ireland has 15% fewer doctors than the OECD average of 3.2 per thousand and</w:t>
      </w:r>
      <w:r>
        <w:rPr>
          <w:sz w:val="20"/>
          <w:szCs w:val="20"/>
          <w:lang w:val="en-GB"/>
        </w:rPr>
        <w:t xml:space="preserve"> it has</w:t>
      </w:r>
      <w:r w:rsidRPr="007654B1">
        <w:rPr>
          <w:sz w:val="20"/>
          <w:szCs w:val="20"/>
          <w:lang w:val="en-GB"/>
        </w:rPr>
        <w:t xml:space="preserve"> about 30% fewer</w:t>
      </w:r>
      <w:r>
        <w:rPr>
          <w:sz w:val="20"/>
          <w:szCs w:val="20"/>
          <w:lang w:val="en-GB"/>
        </w:rPr>
        <w:t xml:space="preserve"> doctors</w:t>
      </w:r>
      <w:r w:rsidRPr="007654B1">
        <w:rPr>
          <w:sz w:val="20"/>
          <w:szCs w:val="20"/>
          <w:lang w:val="en-GB"/>
        </w:rPr>
        <w:t xml:space="preserve"> than Austria, Italy, Sweden, Germany, Switzerland, Spain, </w:t>
      </w:r>
      <w:r>
        <w:rPr>
          <w:sz w:val="20"/>
          <w:szCs w:val="20"/>
          <w:lang w:val="en-GB"/>
        </w:rPr>
        <w:t xml:space="preserve">France </w:t>
      </w:r>
      <w:r w:rsidRPr="007654B1">
        <w:rPr>
          <w:sz w:val="20"/>
          <w:szCs w:val="20"/>
          <w:lang w:val="en-GB"/>
        </w:rPr>
        <w:t>etc.</w:t>
      </w:r>
    </w:p>
    <w:p w:rsidR="00FB529E" w:rsidRDefault="00FB529E" w:rsidP="00FB529E">
      <w:pPr>
        <w:numPr>
          <w:ilvl w:val="0"/>
          <w:numId w:val="6"/>
        </w:numPr>
        <w:jc w:val="both"/>
        <w:rPr>
          <w:sz w:val="20"/>
          <w:szCs w:val="20"/>
          <w:lang w:val="en-GB"/>
        </w:rPr>
      </w:pPr>
      <w:r w:rsidRPr="00F2337D">
        <w:rPr>
          <w:b/>
          <w:sz w:val="20"/>
          <w:szCs w:val="20"/>
          <w:lang w:val="en-GB"/>
        </w:rPr>
        <w:t xml:space="preserve">Vacant consultant posts and recruitment difficulties </w:t>
      </w:r>
      <w:r w:rsidRPr="00F2337D">
        <w:rPr>
          <w:sz w:val="20"/>
          <w:szCs w:val="20"/>
          <w:lang w:val="en-GB"/>
        </w:rPr>
        <w:t xml:space="preserve">due to </w:t>
      </w:r>
      <w:r>
        <w:rPr>
          <w:sz w:val="20"/>
          <w:szCs w:val="20"/>
          <w:lang w:val="en-GB"/>
        </w:rPr>
        <w:t>a severe</w:t>
      </w:r>
      <w:r w:rsidRPr="00F2337D">
        <w:rPr>
          <w:sz w:val="20"/>
          <w:szCs w:val="20"/>
          <w:lang w:val="en-GB"/>
        </w:rPr>
        <w:t xml:space="preserve"> reduction in the number of eligible applicants for advertised posts</w:t>
      </w:r>
      <w:r>
        <w:rPr>
          <w:sz w:val="20"/>
          <w:szCs w:val="20"/>
          <w:lang w:val="en-GB"/>
        </w:rPr>
        <w:t>, arising from the unilateral cut in new consultant salaries</w:t>
      </w:r>
      <w:r w:rsidRPr="00F2337D">
        <w:rPr>
          <w:sz w:val="20"/>
          <w:szCs w:val="20"/>
          <w:lang w:val="en-GB"/>
        </w:rPr>
        <w:t xml:space="preserve"> and increasingly difficult workplace conditions.  </w:t>
      </w:r>
      <w:r>
        <w:rPr>
          <w:sz w:val="20"/>
          <w:szCs w:val="20"/>
          <w:lang w:val="en-GB"/>
        </w:rPr>
        <w:t xml:space="preserve">Up to </w:t>
      </w:r>
      <w:r w:rsidRPr="00F2337D">
        <w:rPr>
          <w:sz w:val="20"/>
          <w:szCs w:val="20"/>
          <w:lang w:val="en-GB"/>
        </w:rPr>
        <w:t>20% of</w:t>
      </w:r>
      <w:r>
        <w:rPr>
          <w:sz w:val="20"/>
          <w:szCs w:val="20"/>
          <w:lang w:val="en-GB"/>
        </w:rPr>
        <w:t xml:space="preserve"> the approved</w:t>
      </w:r>
      <w:r w:rsidRPr="00F2337D">
        <w:rPr>
          <w:sz w:val="20"/>
          <w:szCs w:val="20"/>
          <w:lang w:val="en-GB"/>
        </w:rPr>
        <w:t xml:space="preserve"> consultant posts</w:t>
      </w:r>
      <w:r>
        <w:rPr>
          <w:sz w:val="20"/>
          <w:szCs w:val="20"/>
          <w:lang w:val="en-GB"/>
        </w:rPr>
        <w:t xml:space="preserve"> in acute hospitals and mental health services</w:t>
      </w:r>
      <w:r w:rsidRPr="00F2337D">
        <w:rPr>
          <w:sz w:val="20"/>
          <w:szCs w:val="20"/>
          <w:lang w:val="en-GB"/>
        </w:rPr>
        <w:t xml:space="preserve"> are either vacant or filled on a temporary basis</w:t>
      </w:r>
      <w:r>
        <w:rPr>
          <w:sz w:val="20"/>
          <w:szCs w:val="20"/>
          <w:lang w:val="en-GB"/>
        </w:rPr>
        <w:t xml:space="preserve"> through agencies at a much higher cost than recruiting permanent consultants</w:t>
      </w:r>
      <w:r w:rsidRPr="00F2337D">
        <w:rPr>
          <w:sz w:val="20"/>
          <w:szCs w:val="20"/>
          <w:lang w:val="en-GB"/>
        </w:rPr>
        <w:t>.</w:t>
      </w:r>
    </w:p>
    <w:p w:rsidR="00FB529E" w:rsidRDefault="00FB529E" w:rsidP="007654B1">
      <w:pPr>
        <w:ind w:left="360"/>
        <w:rPr>
          <w:sz w:val="20"/>
          <w:szCs w:val="20"/>
          <w:lang w:val="en-GB"/>
        </w:rPr>
      </w:pPr>
    </w:p>
    <w:p w:rsidR="00FB529E" w:rsidRDefault="00FB529E" w:rsidP="007654B1">
      <w:pPr>
        <w:ind w:left="360"/>
        <w:rPr>
          <w:sz w:val="20"/>
          <w:szCs w:val="20"/>
          <w:lang w:val="en-GB"/>
        </w:rPr>
      </w:pPr>
    </w:p>
    <w:p w:rsidR="00FB529E" w:rsidRPr="00F2337D" w:rsidRDefault="00FB529E" w:rsidP="007654B1">
      <w:pPr>
        <w:ind w:left="360"/>
        <w:rPr>
          <w:sz w:val="20"/>
          <w:szCs w:val="20"/>
          <w:lang w:val="en-GB"/>
        </w:rPr>
      </w:pPr>
    </w:p>
    <w:p w:rsidR="00FB529E" w:rsidRPr="00F2337D" w:rsidRDefault="00FB529E" w:rsidP="00A71A18">
      <w:pPr>
        <w:shd w:val="clear" w:color="auto" w:fill="EEECE1"/>
        <w:tabs>
          <w:tab w:val="left" w:pos="960"/>
        </w:tabs>
        <w:rPr>
          <w:b/>
          <w:sz w:val="20"/>
          <w:szCs w:val="20"/>
          <w:lang w:val="en-GB"/>
        </w:rPr>
      </w:pPr>
      <w:r w:rsidRPr="00F2337D">
        <w:rPr>
          <w:b/>
          <w:sz w:val="20"/>
          <w:szCs w:val="20"/>
          <w:lang w:val="en-GB"/>
        </w:rPr>
        <w:t>IHCA Submission:</w:t>
      </w:r>
    </w:p>
    <w:p w:rsidR="00FB529E" w:rsidRPr="00F2337D" w:rsidRDefault="00FB529E" w:rsidP="007654B1">
      <w:pPr>
        <w:shd w:val="clear" w:color="auto" w:fill="EEECE1"/>
        <w:rPr>
          <w:sz w:val="20"/>
          <w:szCs w:val="20"/>
          <w:lang w:val="en-GB"/>
        </w:rPr>
      </w:pPr>
      <w:r>
        <w:rPr>
          <w:sz w:val="20"/>
          <w:szCs w:val="20"/>
          <w:lang w:val="en-GB"/>
        </w:rPr>
        <w:t>It is vital that acute hospitals are provided with increased frontline resources so that they can care for patients on a timely basis. There is an u</w:t>
      </w:r>
      <w:r w:rsidRPr="00F2337D">
        <w:rPr>
          <w:sz w:val="20"/>
          <w:szCs w:val="20"/>
          <w:lang w:val="en-GB"/>
        </w:rPr>
        <w:t>rgent need to address the problems impacting negatively on recruitment and retention of consultants in Ireland and the failure to fill vacancies with permanent appointments.</w:t>
      </w:r>
    </w:p>
    <w:p w:rsidR="00FB529E" w:rsidRDefault="00FB529E" w:rsidP="00186A5D">
      <w:pPr>
        <w:rPr>
          <w:b/>
          <w:sz w:val="20"/>
          <w:szCs w:val="20"/>
          <w:lang w:val="en-GB"/>
        </w:rPr>
      </w:pPr>
    </w:p>
    <w:p w:rsidR="00FB529E" w:rsidRPr="00F2337D" w:rsidRDefault="00FB529E" w:rsidP="00186A5D">
      <w:pPr>
        <w:rPr>
          <w:b/>
          <w:sz w:val="20"/>
          <w:szCs w:val="20"/>
          <w:lang w:val="en-GB"/>
        </w:rPr>
      </w:pPr>
      <w:r w:rsidRPr="00F2337D">
        <w:rPr>
          <w:b/>
          <w:sz w:val="20"/>
          <w:szCs w:val="20"/>
          <w:lang w:val="en-GB"/>
        </w:rPr>
        <w:t>Bed Stock.</w:t>
      </w:r>
    </w:p>
    <w:p w:rsidR="00FB529E" w:rsidRDefault="00FB529E" w:rsidP="00FB529E">
      <w:pPr>
        <w:numPr>
          <w:ilvl w:val="1"/>
          <w:numId w:val="8"/>
        </w:numPr>
        <w:autoSpaceDE w:val="0"/>
        <w:autoSpaceDN w:val="0"/>
        <w:adjustRightInd w:val="0"/>
        <w:ind w:left="0"/>
        <w:jc w:val="both"/>
        <w:rPr>
          <w:sz w:val="20"/>
          <w:szCs w:val="20"/>
          <w:lang w:val="en-GB"/>
        </w:rPr>
      </w:pPr>
      <w:r w:rsidRPr="008F09B9">
        <w:rPr>
          <w:sz w:val="20"/>
          <w:szCs w:val="20"/>
          <w:lang w:val="en-GB"/>
        </w:rPr>
        <w:t>At a time of inc</w:t>
      </w:r>
      <w:r>
        <w:rPr>
          <w:sz w:val="20"/>
          <w:szCs w:val="20"/>
          <w:lang w:val="en-GB"/>
        </w:rPr>
        <w:t>reased demand for hospital care</w:t>
      </w:r>
      <w:r w:rsidRPr="008F09B9">
        <w:rPr>
          <w:sz w:val="20"/>
          <w:szCs w:val="20"/>
          <w:lang w:val="en-GB"/>
        </w:rPr>
        <w:t xml:space="preserve"> due to our increasing and ageing population, the number of publicly funded inpatient beds is about 10% below 2006 levels</w:t>
      </w:r>
      <w:r>
        <w:rPr>
          <w:sz w:val="20"/>
          <w:szCs w:val="20"/>
          <w:lang w:val="en-GB"/>
        </w:rPr>
        <w:t xml:space="preserve">. </w:t>
      </w:r>
      <w:r w:rsidRPr="008F09B9">
        <w:rPr>
          <w:sz w:val="20"/>
          <w:szCs w:val="20"/>
          <w:lang w:val="en-GB"/>
        </w:rPr>
        <w:t>Ireland’s reported acu</w:t>
      </w:r>
      <w:r>
        <w:rPr>
          <w:sz w:val="20"/>
          <w:szCs w:val="20"/>
          <w:lang w:val="en-GB"/>
        </w:rPr>
        <w:t>te inpatient bed capacity at 3 per 1000 population</w:t>
      </w:r>
      <w:r w:rsidRPr="008F09B9">
        <w:rPr>
          <w:sz w:val="20"/>
          <w:szCs w:val="20"/>
          <w:lang w:val="en-GB"/>
        </w:rPr>
        <w:t xml:space="preserve"> is </w:t>
      </w:r>
      <w:r>
        <w:rPr>
          <w:sz w:val="20"/>
          <w:szCs w:val="20"/>
          <w:lang w:val="en-GB"/>
        </w:rPr>
        <w:t>low in</w:t>
      </w:r>
      <w:r w:rsidRPr="008F09B9">
        <w:rPr>
          <w:sz w:val="20"/>
          <w:szCs w:val="20"/>
          <w:lang w:val="en-GB"/>
        </w:rPr>
        <w:t xml:space="preserve"> comparison with other countries</w:t>
      </w:r>
      <w:r>
        <w:rPr>
          <w:sz w:val="20"/>
          <w:szCs w:val="20"/>
          <w:lang w:val="en-GB"/>
        </w:rPr>
        <w:t xml:space="preserve"> and the OECD average of </w:t>
      </w:r>
      <w:r w:rsidRPr="008F09B9">
        <w:rPr>
          <w:sz w:val="20"/>
          <w:szCs w:val="20"/>
          <w:lang w:val="en-GB"/>
        </w:rPr>
        <w:t>4</w:t>
      </w:r>
      <w:r>
        <w:rPr>
          <w:sz w:val="20"/>
          <w:szCs w:val="20"/>
          <w:lang w:val="en-GB"/>
        </w:rPr>
        <w:t>.8</w:t>
      </w:r>
      <w:r w:rsidRPr="008F09B9">
        <w:rPr>
          <w:sz w:val="20"/>
          <w:szCs w:val="20"/>
          <w:lang w:val="en-GB"/>
        </w:rPr>
        <w:t xml:space="preserve"> per 1,000 population.</w:t>
      </w:r>
      <w:r>
        <w:rPr>
          <w:sz w:val="20"/>
          <w:szCs w:val="20"/>
          <w:lang w:val="en-GB"/>
        </w:rPr>
        <w:t xml:space="preserve"> Ireland also has an extremely high bed occupancy level which impacts on infection control and patient care.</w:t>
      </w:r>
    </w:p>
    <w:p w:rsidR="00FB529E" w:rsidRDefault="00FB529E" w:rsidP="00A11BC1">
      <w:pPr>
        <w:autoSpaceDE w:val="0"/>
        <w:autoSpaceDN w:val="0"/>
        <w:adjustRightInd w:val="0"/>
        <w:rPr>
          <w:sz w:val="20"/>
          <w:szCs w:val="20"/>
          <w:lang w:val="en-GB"/>
        </w:rPr>
      </w:pPr>
    </w:p>
    <w:p w:rsidR="00FB529E" w:rsidRPr="00A11BC1" w:rsidRDefault="00FB529E" w:rsidP="00FB529E">
      <w:pPr>
        <w:numPr>
          <w:ilvl w:val="1"/>
          <w:numId w:val="8"/>
        </w:numPr>
        <w:autoSpaceDE w:val="0"/>
        <w:autoSpaceDN w:val="0"/>
        <w:adjustRightInd w:val="0"/>
        <w:ind w:left="0"/>
        <w:jc w:val="both"/>
        <w:rPr>
          <w:sz w:val="20"/>
          <w:szCs w:val="20"/>
          <w:lang w:val="en-GB"/>
        </w:rPr>
      </w:pPr>
      <w:r>
        <w:rPr>
          <w:sz w:val="20"/>
          <w:szCs w:val="20"/>
          <w:lang w:val="en-GB"/>
        </w:rPr>
        <w:t xml:space="preserve">The number of </w:t>
      </w:r>
      <w:r w:rsidRPr="00A11BC1">
        <w:rPr>
          <w:sz w:val="20"/>
          <w:szCs w:val="20"/>
          <w:lang w:val="en-GB"/>
        </w:rPr>
        <w:t>clinically discharged patients occupying acute hospital bed</w:t>
      </w:r>
      <w:r>
        <w:rPr>
          <w:sz w:val="20"/>
          <w:szCs w:val="20"/>
          <w:lang w:val="en-GB"/>
        </w:rPr>
        <w:t>s continues to be a major issue, with some 670 beds unavailable to new admissions. This is equivalent to Beaumont Hospital or University Hospital Galway being closed throughout the year (Figure 7).</w:t>
      </w:r>
    </w:p>
    <w:p w:rsidR="00FB529E" w:rsidRDefault="00FB529E" w:rsidP="005B5AE1">
      <w:pPr>
        <w:rPr>
          <w:rFonts w:eastAsia="Times New Roman"/>
          <w:b/>
          <w:bCs/>
          <w:i/>
          <w:sz w:val="20"/>
          <w:szCs w:val="20"/>
        </w:rPr>
      </w:pPr>
    </w:p>
    <w:p w:rsidR="00FB529E" w:rsidRPr="001A4478" w:rsidRDefault="00FB529E" w:rsidP="005B5AE1">
      <w:pPr>
        <w:rPr>
          <w:rFonts w:eastAsia="Times New Roman"/>
          <w:b/>
          <w:bCs/>
          <w:i/>
          <w:sz w:val="20"/>
          <w:szCs w:val="20"/>
        </w:rPr>
      </w:pPr>
      <w:r>
        <w:rPr>
          <w:rFonts w:eastAsia="Times New Roman"/>
          <w:b/>
          <w:bCs/>
          <w:i/>
          <w:sz w:val="20"/>
          <w:szCs w:val="20"/>
        </w:rPr>
        <w:t>Figure 7: weekly delayed discharges Apr/May 2014</w:t>
      </w:r>
    </w:p>
    <w:p w:rsidR="00FB529E" w:rsidRDefault="00FB529E" w:rsidP="005B5AE1">
      <w:pPr>
        <w:rPr>
          <w:rFonts w:eastAsia="Times New Roman"/>
          <w:b/>
          <w:bCs/>
          <w:sz w:val="20"/>
          <w:szCs w:val="20"/>
        </w:rPr>
      </w:pPr>
      <w:r w:rsidRPr="00E50222">
        <w:rPr>
          <w:noProof/>
          <w:color w:val="1F497D"/>
        </w:rPr>
        <w:pict>
          <v:shape id="_x0000_i1032" type="#_x0000_t75" style="width:469.5pt;height:25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">
            <v:imagedata r:id="rId18" o:title=""/>
            <o:lock v:ext="edit" aspectratio="f"/>
          </v:shape>
        </w:pict>
      </w:r>
    </w:p>
    <w:p w:rsidR="00FB529E" w:rsidRPr="00FC1853" w:rsidRDefault="00FB529E" w:rsidP="00F2337D">
      <w:pPr>
        <w:rPr>
          <w:rFonts w:eastAsia="Times New Roman"/>
          <w:b/>
          <w:bCs/>
          <w:sz w:val="20"/>
          <w:szCs w:val="20"/>
        </w:rPr>
      </w:pPr>
      <w:r>
        <w:rPr>
          <w:rFonts w:eastAsia="Times New Roman"/>
          <w:b/>
          <w:bCs/>
          <w:i/>
          <w:sz w:val="20"/>
          <w:szCs w:val="20"/>
        </w:rPr>
        <w:t>Source: May</w:t>
      </w:r>
      <w:r w:rsidRPr="001A4478">
        <w:rPr>
          <w:rFonts w:eastAsia="Times New Roman"/>
          <w:b/>
          <w:bCs/>
          <w:i/>
          <w:sz w:val="20"/>
          <w:szCs w:val="20"/>
        </w:rPr>
        <w:t xml:space="preserve"> 2014 Performance Assurance Repor</w:t>
      </w:r>
      <w:r>
        <w:rPr>
          <w:rFonts w:eastAsia="Times New Roman"/>
          <w:b/>
          <w:bCs/>
          <w:i/>
          <w:sz w:val="20"/>
          <w:szCs w:val="20"/>
        </w:rPr>
        <w:t>ts</w:t>
      </w:r>
      <w:r>
        <w:rPr>
          <w:rFonts w:eastAsia="Times New Roman"/>
          <w:b/>
          <w:bCs/>
          <w:sz w:val="20"/>
          <w:szCs w:val="20"/>
        </w:rPr>
        <w:t xml:space="preserve"> </w:t>
      </w:r>
    </w:p>
    <w:p w:rsidR="00FB529E" w:rsidRPr="00F2337D" w:rsidRDefault="00FB529E" w:rsidP="00BD2B29">
      <w:pPr>
        <w:autoSpaceDE w:val="0"/>
        <w:autoSpaceDN w:val="0"/>
        <w:adjustRightInd w:val="0"/>
        <w:rPr>
          <w:sz w:val="20"/>
          <w:szCs w:val="20"/>
          <w:lang w:val="en-GB"/>
        </w:rPr>
      </w:pPr>
      <w:bookmarkStart w:id="14" w:name="_Toc334965197"/>
    </w:p>
    <w:p w:rsidR="00FB529E" w:rsidRPr="00F2337D" w:rsidRDefault="00FB529E" w:rsidP="00BD2B29">
      <w:pPr>
        <w:shd w:val="clear" w:color="auto" w:fill="EEECE1"/>
        <w:rPr>
          <w:b/>
          <w:sz w:val="20"/>
          <w:szCs w:val="20"/>
          <w:lang w:val="en-GB"/>
        </w:rPr>
      </w:pPr>
      <w:r w:rsidRPr="00F2337D">
        <w:rPr>
          <w:b/>
          <w:sz w:val="20"/>
          <w:szCs w:val="20"/>
          <w:lang w:val="en-GB"/>
        </w:rPr>
        <w:t>IHCA Submission</w:t>
      </w:r>
    </w:p>
    <w:p w:rsidR="00FB529E" w:rsidRPr="00F2337D" w:rsidRDefault="00FB529E" w:rsidP="00BD2B29">
      <w:pPr>
        <w:shd w:val="clear" w:color="auto" w:fill="EEECE1"/>
        <w:rPr>
          <w:sz w:val="20"/>
          <w:szCs w:val="20"/>
          <w:lang w:val="en-GB"/>
        </w:rPr>
      </w:pPr>
      <w:r w:rsidRPr="00F2337D">
        <w:rPr>
          <w:sz w:val="20"/>
          <w:szCs w:val="20"/>
          <w:lang w:val="en-GB"/>
        </w:rPr>
        <w:t xml:space="preserve">The Association strongly recommends that </w:t>
      </w:r>
      <w:r>
        <w:rPr>
          <w:sz w:val="20"/>
          <w:szCs w:val="20"/>
          <w:lang w:val="en-GB"/>
        </w:rPr>
        <w:t>increased frontline</w:t>
      </w:r>
      <w:r w:rsidRPr="00F2337D">
        <w:rPr>
          <w:sz w:val="20"/>
          <w:szCs w:val="20"/>
          <w:lang w:val="en-GB"/>
        </w:rPr>
        <w:t xml:space="preserve"> resources are provided to utilise the existing bed and theatre capacity to the optimum as this is urgently required to treat the increasing numbers of patients presenting for care. </w:t>
      </w:r>
      <w:r>
        <w:rPr>
          <w:sz w:val="20"/>
          <w:szCs w:val="20"/>
          <w:lang w:val="en-GB"/>
        </w:rPr>
        <w:t>The failure to transfer clinically discharged patients to step down care is the equivalent to Beaumont Hospital or University Hospital Galway being closed throughout the year every year. Closed beds and restricted</w:t>
      </w:r>
      <w:r w:rsidRPr="00F2337D">
        <w:rPr>
          <w:sz w:val="20"/>
          <w:szCs w:val="20"/>
          <w:lang w:val="en-GB"/>
        </w:rPr>
        <w:t xml:space="preserve"> access to theatre facilities</w:t>
      </w:r>
      <w:r>
        <w:rPr>
          <w:sz w:val="20"/>
          <w:szCs w:val="20"/>
          <w:lang w:val="en-GB"/>
        </w:rPr>
        <w:t xml:space="preserve"> and beds in operation</w:t>
      </w:r>
      <w:r w:rsidRPr="00F2337D">
        <w:rPr>
          <w:sz w:val="20"/>
          <w:szCs w:val="20"/>
          <w:lang w:val="en-GB"/>
        </w:rPr>
        <w:t xml:space="preserve"> represent an enormous loss to the health system and wider public.</w:t>
      </w:r>
      <w:r>
        <w:rPr>
          <w:sz w:val="20"/>
          <w:szCs w:val="20"/>
          <w:lang w:val="en-GB"/>
        </w:rPr>
        <w:t xml:space="preserve">  </w:t>
      </w:r>
    </w:p>
    <w:p w:rsidR="00FB529E" w:rsidRPr="00F2337D" w:rsidRDefault="00FB529E" w:rsidP="00F2337D">
      <w:pPr>
        <w:rPr>
          <w:lang w:val="en-GB"/>
        </w:rPr>
      </w:pPr>
    </w:p>
    <w:p w:rsidR="00FB529E" w:rsidRPr="00A11BC1" w:rsidRDefault="00FB529E" w:rsidP="00602E23">
      <w:pPr>
        <w:pStyle w:val="Style3"/>
      </w:pPr>
      <w:bookmarkStart w:id="15" w:name="_Toc393724542"/>
      <w:bookmarkStart w:id="16" w:name="_Toc393875683"/>
      <w:r>
        <w:lastRenderedPageBreak/>
        <w:t>Health Insurance</w:t>
      </w:r>
      <w:bookmarkEnd w:id="15"/>
      <w:bookmarkEnd w:id="16"/>
    </w:p>
    <w:p w:rsidR="00FB529E" w:rsidRDefault="00FB529E" w:rsidP="00A11BC1">
      <w:pPr>
        <w:pStyle w:val="Style1"/>
        <w:tabs>
          <w:tab w:val="clear" w:pos="360"/>
        </w:tabs>
        <w:spacing w:before="0"/>
        <w:jc w:val="left"/>
        <w:rPr>
          <w:rFonts w:ascii="Calibri" w:hAnsi="Calibri"/>
          <w:color w:val="auto"/>
          <w:sz w:val="28"/>
          <w:szCs w:val="28"/>
          <w:lang w:val="en-GB"/>
        </w:rPr>
      </w:pPr>
    </w:p>
    <w:p w:rsidR="00FB529E" w:rsidRDefault="00FB529E" w:rsidP="00592DB4">
      <w:pPr>
        <w:pStyle w:val="Style1"/>
        <w:tabs>
          <w:tab w:val="clear" w:pos="360"/>
        </w:tabs>
        <w:spacing w:before="0"/>
        <w:rPr>
          <w:rFonts w:ascii="Calibri" w:hAnsi="Calibri"/>
          <w:b w:val="0"/>
          <w:color w:val="auto"/>
          <w:sz w:val="20"/>
          <w:szCs w:val="20"/>
          <w:lang w:val="en-GB"/>
        </w:rPr>
      </w:pPr>
      <w:bookmarkStart w:id="17" w:name="_Toc393718690"/>
      <w:bookmarkStart w:id="18" w:name="_Toc393724543"/>
      <w:r>
        <w:rPr>
          <w:rFonts w:ascii="Calibri" w:hAnsi="Calibri"/>
          <w:b w:val="0"/>
          <w:color w:val="auto"/>
          <w:sz w:val="20"/>
          <w:szCs w:val="20"/>
          <w:lang w:val="en-GB"/>
        </w:rPr>
        <w:t xml:space="preserve">The number of people with health insurance has declined by over 11% since 2008. There is a concern that the number of people giving up health insurance has been exacerbated by the reductions in tax relief included in this year’s budget. </w:t>
      </w:r>
    </w:p>
    <w:p w:rsidR="00FB529E" w:rsidRDefault="00FB529E" w:rsidP="00592DB4">
      <w:pPr>
        <w:pStyle w:val="Style1"/>
        <w:tabs>
          <w:tab w:val="clear" w:pos="360"/>
        </w:tabs>
        <w:spacing w:before="0"/>
        <w:rPr>
          <w:rFonts w:ascii="Calibri" w:hAnsi="Calibri"/>
          <w:b w:val="0"/>
          <w:color w:val="auto"/>
          <w:sz w:val="20"/>
          <w:szCs w:val="20"/>
          <w:lang w:val="en-GB"/>
        </w:rPr>
      </w:pPr>
    </w:p>
    <w:p w:rsidR="00FB529E" w:rsidRDefault="00FB529E" w:rsidP="00592DB4">
      <w:pPr>
        <w:pStyle w:val="Style1"/>
        <w:tabs>
          <w:tab w:val="clear" w:pos="360"/>
        </w:tabs>
        <w:spacing w:before="0"/>
        <w:rPr>
          <w:rFonts w:ascii="Calibri" w:hAnsi="Calibri"/>
          <w:b w:val="0"/>
          <w:color w:val="auto"/>
          <w:sz w:val="20"/>
          <w:szCs w:val="20"/>
          <w:lang w:val="en-GB"/>
        </w:rPr>
      </w:pPr>
      <w:r>
        <w:rPr>
          <w:rFonts w:ascii="Calibri" w:hAnsi="Calibri"/>
          <w:b w:val="0"/>
          <w:color w:val="auto"/>
          <w:sz w:val="20"/>
          <w:szCs w:val="20"/>
          <w:lang w:val="en-GB"/>
        </w:rPr>
        <w:t xml:space="preserve">Overall, the cost of providing care to private patients has increased for a number of reasons in recent years despite reductions in the fees that insurers are paying to Consultants. In the past two years, Consultants costs have increased substantially due to increases of around 33% and 42% in the cost of clinical indemnification in 2013 and this year respectively. </w:t>
      </w:r>
    </w:p>
    <w:p w:rsidR="00FB529E" w:rsidRDefault="00FB529E" w:rsidP="00592DB4">
      <w:pPr>
        <w:pStyle w:val="Style1"/>
        <w:tabs>
          <w:tab w:val="clear" w:pos="360"/>
        </w:tabs>
        <w:spacing w:before="0"/>
        <w:rPr>
          <w:rFonts w:ascii="Calibri" w:hAnsi="Calibri"/>
          <w:b w:val="0"/>
          <w:color w:val="auto"/>
          <w:sz w:val="20"/>
          <w:szCs w:val="20"/>
          <w:lang w:val="en-GB"/>
        </w:rPr>
      </w:pPr>
    </w:p>
    <w:p w:rsidR="00FB529E" w:rsidRPr="00A11BC1" w:rsidRDefault="00FB529E" w:rsidP="00592DB4">
      <w:pPr>
        <w:pStyle w:val="Style1"/>
        <w:tabs>
          <w:tab w:val="clear" w:pos="360"/>
        </w:tabs>
        <w:spacing w:before="0"/>
        <w:rPr>
          <w:rFonts w:ascii="Calibri" w:hAnsi="Calibri"/>
          <w:b w:val="0"/>
          <w:color w:val="auto"/>
          <w:sz w:val="20"/>
          <w:szCs w:val="20"/>
          <w:lang w:val="en-GB"/>
        </w:rPr>
      </w:pPr>
      <w:r>
        <w:rPr>
          <w:rFonts w:ascii="Calibri" w:hAnsi="Calibri"/>
          <w:b w:val="0"/>
          <w:color w:val="auto"/>
          <w:sz w:val="20"/>
          <w:szCs w:val="20"/>
          <w:lang w:val="en-GB"/>
        </w:rPr>
        <w:t>Given the continuing upward pressure on the cost of providing care, it is critically important that the increased cost of clinical indemnification is addressed and that tax relief on private health insurance is returned to the levels that applied prior to the 2014 budget cuts.</w:t>
      </w:r>
      <w:bookmarkEnd w:id="17"/>
      <w:bookmarkEnd w:id="18"/>
      <w:r>
        <w:rPr>
          <w:rFonts w:ascii="Calibri" w:hAnsi="Calibri"/>
          <w:b w:val="0"/>
          <w:color w:val="auto"/>
          <w:sz w:val="20"/>
          <w:szCs w:val="20"/>
          <w:lang w:val="en-GB"/>
        </w:rPr>
        <w:t xml:space="preserve">      </w:t>
      </w:r>
    </w:p>
    <w:p w:rsidR="00FB529E" w:rsidRPr="00592DB4" w:rsidRDefault="00FB529E" w:rsidP="00A11BC1">
      <w:pPr>
        <w:pStyle w:val="Style1"/>
        <w:tabs>
          <w:tab w:val="clear" w:pos="360"/>
        </w:tabs>
        <w:spacing w:before="0"/>
        <w:jc w:val="left"/>
        <w:rPr>
          <w:rFonts w:ascii="Calibri" w:hAnsi="Calibri"/>
          <w:color w:val="auto"/>
          <w:sz w:val="28"/>
          <w:szCs w:val="28"/>
          <w:lang w:val="en-GB"/>
        </w:rPr>
      </w:pPr>
    </w:p>
    <w:p w:rsidR="00FB529E" w:rsidRPr="00C8779F" w:rsidRDefault="00FB529E" w:rsidP="00602E23">
      <w:pPr>
        <w:pStyle w:val="Style3"/>
      </w:pPr>
      <w:bookmarkStart w:id="19" w:name="_Toc393724544"/>
      <w:bookmarkStart w:id="20" w:name="_Toc393875684"/>
      <w:r w:rsidRPr="00A11BC1">
        <w:rPr>
          <w:lang w:val="en-IE"/>
        </w:rPr>
        <w:t>M</w:t>
      </w:r>
      <w:r w:rsidRPr="00A11BC1">
        <w:t>ental Health Funding</w:t>
      </w:r>
      <w:bookmarkEnd w:id="14"/>
      <w:bookmarkEnd w:id="19"/>
      <w:bookmarkEnd w:id="20"/>
    </w:p>
    <w:p w:rsidR="00FB529E" w:rsidRPr="00264FA2" w:rsidRDefault="00FB529E" w:rsidP="00FB529E">
      <w:pPr>
        <w:pStyle w:val="ListParagraph"/>
        <w:numPr>
          <w:ilvl w:val="0"/>
          <w:numId w:val="8"/>
        </w:numPr>
        <w:jc w:val="both"/>
        <w:rPr>
          <w:vanish/>
          <w:color w:val="FFFFFF"/>
          <w:sz w:val="6"/>
          <w:szCs w:val="6"/>
        </w:rPr>
      </w:pPr>
    </w:p>
    <w:p w:rsidR="00FB529E" w:rsidRPr="00264FA2" w:rsidRDefault="00FB529E" w:rsidP="00FB529E">
      <w:pPr>
        <w:pStyle w:val="ListParagraph"/>
        <w:numPr>
          <w:ilvl w:val="0"/>
          <w:numId w:val="8"/>
        </w:numPr>
        <w:jc w:val="both"/>
        <w:rPr>
          <w:vanish/>
          <w:color w:val="FFFFFF"/>
          <w:sz w:val="6"/>
          <w:szCs w:val="6"/>
        </w:rPr>
      </w:pPr>
    </w:p>
    <w:p w:rsidR="00FB529E" w:rsidRDefault="00FB529E" w:rsidP="00FB529E">
      <w:pPr>
        <w:pStyle w:val="ListParagraph"/>
        <w:numPr>
          <w:ilvl w:val="1"/>
          <w:numId w:val="8"/>
        </w:numPr>
        <w:ind w:left="0"/>
        <w:jc w:val="both"/>
        <w:rPr>
          <w:sz w:val="20"/>
          <w:szCs w:val="20"/>
        </w:rPr>
      </w:pPr>
      <w:r>
        <w:rPr>
          <w:sz w:val="20"/>
          <w:szCs w:val="20"/>
        </w:rPr>
        <w:t>There is a concern</w:t>
      </w:r>
      <w:r w:rsidRPr="00C467DC">
        <w:rPr>
          <w:sz w:val="20"/>
          <w:szCs w:val="20"/>
        </w:rPr>
        <w:t xml:space="preserve"> that the ring-fenced</w:t>
      </w:r>
      <w:r>
        <w:rPr>
          <w:sz w:val="20"/>
          <w:szCs w:val="20"/>
        </w:rPr>
        <w:t xml:space="preserve"> additional </w:t>
      </w:r>
      <w:r w:rsidRPr="00C467DC">
        <w:rPr>
          <w:sz w:val="20"/>
          <w:szCs w:val="20"/>
        </w:rPr>
        <w:t>funding</w:t>
      </w:r>
      <w:r>
        <w:rPr>
          <w:sz w:val="20"/>
          <w:szCs w:val="20"/>
        </w:rPr>
        <w:t xml:space="preserve"> of €35million allocated to</w:t>
      </w:r>
      <w:r w:rsidRPr="00C467DC">
        <w:rPr>
          <w:sz w:val="20"/>
          <w:szCs w:val="20"/>
        </w:rPr>
        <w:t xml:space="preserve"> Mental Health Services in </w:t>
      </w:r>
      <w:r>
        <w:rPr>
          <w:sz w:val="20"/>
          <w:szCs w:val="20"/>
        </w:rPr>
        <w:t>2013 was</w:t>
      </w:r>
      <w:r w:rsidRPr="00C467DC">
        <w:rPr>
          <w:sz w:val="20"/>
          <w:szCs w:val="20"/>
        </w:rPr>
        <w:t xml:space="preserve"> used to fund the overall health budget</w:t>
      </w:r>
      <w:r>
        <w:rPr>
          <w:sz w:val="20"/>
          <w:szCs w:val="20"/>
        </w:rPr>
        <w:t xml:space="preserve"> deficit. As of May 2014, additional funding of €20 Million allocated to Mental Health in the 2014 budget had not been spent giving rise to renewed concerns.   </w:t>
      </w:r>
    </w:p>
    <w:p w:rsidR="00FB529E" w:rsidRDefault="00FB529E" w:rsidP="009563EF">
      <w:pPr>
        <w:pStyle w:val="ListParagraph"/>
        <w:ind w:left="0"/>
        <w:rPr>
          <w:sz w:val="20"/>
          <w:szCs w:val="20"/>
        </w:rPr>
      </w:pPr>
    </w:p>
    <w:p w:rsidR="00FB529E" w:rsidRPr="004A2FC9" w:rsidRDefault="00FB529E" w:rsidP="00FB529E">
      <w:pPr>
        <w:pStyle w:val="ListParagraph"/>
        <w:numPr>
          <w:ilvl w:val="1"/>
          <w:numId w:val="8"/>
        </w:numPr>
        <w:ind w:left="0"/>
        <w:jc w:val="both"/>
        <w:rPr>
          <w:sz w:val="20"/>
          <w:szCs w:val="20"/>
        </w:rPr>
      </w:pPr>
      <w:r w:rsidRPr="009563EF">
        <w:rPr>
          <w:sz w:val="20"/>
          <w:szCs w:val="20"/>
        </w:rPr>
        <w:t>Mental Health funding has been cut by almost €250m, or 25%, based on the 2009 to 2014 figures</w:t>
      </w:r>
      <w:r>
        <w:rPr>
          <w:sz w:val="20"/>
          <w:szCs w:val="20"/>
        </w:rPr>
        <w:t xml:space="preserve"> (table 6)</w:t>
      </w:r>
      <w:r w:rsidRPr="009563EF">
        <w:rPr>
          <w:sz w:val="20"/>
          <w:szCs w:val="20"/>
        </w:rPr>
        <w:t>, at a time of increased demand and in circumstances where significant shortfalls in the provision of services have arisen.</w:t>
      </w:r>
      <w:r>
        <w:rPr>
          <w:sz w:val="20"/>
          <w:szCs w:val="20"/>
        </w:rPr>
        <w:t xml:space="preserve"> </w:t>
      </w:r>
      <w:r w:rsidRPr="009563EF">
        <w:rPr>
          <w:sz w:val="20"/>
          <w:szCs w:val="20"/>
        </w:rPr>
        <w:t>The Mental Health division is reporting breakeven at the end of May 2014 arising principally from the inclusion of the suicide prevention bud</w:t>
      </w:r>
      <w:r>
        <w:rPr>
          <w:sz w:val="20"/>
          <w:szCs w:val="20"/>
        </w:rPr>
        <w:t>get</w:t>
      </w:r>
      <w:r w:rsidRPr="009563EF">
        <w:rPr>
          <w:sz w:val="20"/>
          <w:szCs w:val="20"/>
        </w:rPr>
        <w:t>. Without this positive variance from the N</w:t>
      </w:r>
      <w:r>
        <w:rPr>
          <w:sz w:val="20"/>
          <w:szCs w:val="20"/>
        </w:rPr>
        <w:t xml:space="preserve">ational </w:t>
      </w:r>
      <w:r w:rsidRPr="009563EF">
        <w:rPr>
          <w:sz w:val="20"/>
          <w:szCs w:val="20"/>
        </w:rPr>
        <w:t>O</w:t>
      </w:r>
      <w:r>
        <w:rPr>
          <w:sz w:val="20"/>
          <w:szCs w:val="20"/>
        </w:rPr>
        <w:t xml:space="preserve">ffice for </w:t>
      </w:r>
      <w:r w:rsidRPr="009563EF">
        <w:rPr>
          <w:sz w:val="20"/>
          <w:szCs w:val="20"/>
        </w:rPr>
        <w:t>S</w:t>
      </w:r>
      <w:r>
        <w:rPr>
          <w:sz w:val="20"/>
          <w:szCs w:val="20"/>
        </w:rPr>
        <w:t xml:space="preserve">uicide </w:t>
      </w:r>
      <w:r w:rsidRPr="009563EF">
        <w:rPr>
          <w:sz w:val="20"/>
          <w:szCs w:val="20"/>
        </w:rPr>
        <w:t>P</w:t>
      </w:r>
      <w:r>
        <w:rPr>
          <w:sz w:val="20"/>
          <w:szCs w:val="20"/>
        </w:rPr>
        <w:t>revention</w:t>
      </w:r>
      <w:r w:rsidRPr="009563EF">
        <w:rPr>
          <w:sz w:val="20"/>
          <w:szCs w:val="20"/>
        </w:rPr>
        <w:t>, t</w:t>
      </w:r>
      <w:r>
        <w:rPr>
          <w:sz w:val="20"/>
          <w:szCs w:val="20"/>
        </w:rPr>
        <w:t xml:space="preserve">here would have been </w:t>
      </w:r>
      <w:r w:rsidRPr="004A2FC9">
        <w:rPr>
          <w:sz w:val="20"/>
          <w:szCs w:val="20"/>
        </w:rPr>
        <w:t>a €1m or 0.4% deficit.</w:t>
      </w:r>
    </w:p>
    <w:p w:rsidR="00FB529E" w:rsidRDefault="00FB529E" w:rsidP="00AE35F6">
      <w:pPr>
        <w:pStyle w:val="ListParagraph"/>
        <w:rPr>
          <w:sz w:val="20"/>
          <w:szCs w:val="20"/>
        </w:rPr>
      </w:pPr>
    </w:p>
    <w:p w:rsidR="00FB529E" w:rsidRDefault="00FB529E" w:rsidP="00FB529E">
      <w:pPr>
        <w:pStyle w:val="ListParagraph"/>
        <w:numPr>
          <w:ilvl w:val="1"/>
          <w:numId w:val="8"/>
        </w:numPr>
        <w:ind w:left="0"/>
        <w:jc w:val="both"/>
        <w:rPr>
          <w:sz w:val="20"/>
          <w:szCs w:val="20"/>
        </w:rPr>
      </w:pPr>
      <w:r w:rsidRPr="004A2FC9">
        <w:rPr>
          <w:sz w:val="20"/>
          <w:szCs w:val="20"/>
        </w:rPr>
        <w:t>Mental Health services are seri</w:t>
      </w:r>
      <w:r>
        <w:rPr>
          <w:sz w:val="20"/>
          <w:szCs w:val="20"/>
        </w:rPr>
        <w:t>ously understaffed. There were 584 WTEs vacancies in</w:t>
      </w:r>
      <w:r w:rsidRPr="004A2FC9">
        <w:rPr>
          <w:sz w:val="20"/>
          <w:szCs w:val="20"/>
        </w:rPr>
        <w:t xml:space="preserve"> April 2014, some 6% below the staffing ceiling of 9,611. </w:t>
      </w:r>
      <w:r>
        <w:rPr>
          <w:sz w:val="20"/>
          <w:szCs w:val="20"/>
        </w:rPr>
        <w:t xml:space="preserve"> </w:t>
      </w:r>
    </w:p>
    <w:p w:rsidR="00FB529E" w:rsidRPr="004A2FC9" w:rsidRDefault="00FB529E" w:rsidP="004A2FC9">
      <w:pPr>
        <w:pStyle w:val="ListParagraph"/>
        <w:ind w:left="0"/>
        <w:rPr>
          <w:sz w:val="20"/>
          <w:szCs w:val="20"/>
        </w:rPr>
      </w:pPr>
    </w:p>
    <w:p w:rsidR="00FB529E" w:rsidRPr="00C044DC" w:rsidRDefault="00FB529E" w:rsidP="00244DB6">
      <w:pPr>
        <w:pStyle w:val="ListParagraph"/>
        <w:ind w:left="0"/>
        <w:rPr>
          <w:b/>
          <w:i/>
          <w:sz w:val="20"/>
          <w:szCs w:val="20"/>
        </w:rPr>
      </w:pPr>
      <w:r w:rsidRPr="00C044DC">
        <w:rPr>
          <w:b/>
          <w:i/>
          <w:sz w:val="20"/>
          <w:szCs w:val="20"/>
        </w:rPr>
        <w:t xml:space="preserve">Table </w:t>
      </w:r>
      <w:r>
        <w:rPr>
          <w:b/>
          <w:i/>
          <w:sz w:val="20"/>
          <w:szCs w:val="20"/>
        </w:rPr>
        <w:t>6</w:t>
      </w:r>
      <w:r w:rsidRPr="00C044DC">
        <w:rPr>
          <w:b/>
          <w:i/>
          <w:sz w:val="20"/>
          <w:szCs w:val="20"/>
        </w:rPr>
        <w:t>:  Current Expenditur</w:t>
      </w:r>
      <w:r>
        <w:rPr>
          <w:b/>
          <w:i/>
          <w:sz w:val="20"/>
          <w:szCs w:val="20"/>
        </w:rPr>
        <w:t>e for Mental Health, 2009 - 2014</w:t>
      </w:r>
    </w:p>
    <w:tbl>
      <w:tblPr>
        <w:tblW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618"/>
      </w:tblGrid>
      <w:tr w:rsidR="00FB529E" w:rsidRPr="00AA3158" w:rsidTr="00244DB6">
        <w:tc>
          <w:tcPr>
            <w:tcW w:w="4219" w:type="dxa"/>
            <w:tcBorders>
              <w:right w:val="single" w:sz="8" w:space="0" w:color="1F497D"/>
            </w:tcBorders>
            <w:shd w:val="clear" w:color="auto" w:fill="B8CCE4"/>
          </w:tcPr>
          <w:p w:rsidR="00FB529E" w:rsidRPr="00AA3158" w:rsidRDefault="00FB529E" w:rsidP="00244DB6">
            <w:pPr>
              <w:pStyle w:val="ListParagraph"/>
              <w:ind w:left="0"/>
              <w:rPr>
                <w:rFonts w:ascii="Cambria" w:hAnsi="Cambria"/>
                <w:b/>
                <w:sz w:val="20"/>
                <w:szCs w:val="20"/>
              </w:rPr>
            </w:pPr>
            <w:r w:rsidRPr="00AA3158">
              <w:rPr>
                <w:rFonts w:ascii="Cambria" w:hAnsi="Cambria"/>
                <w:b/>
                <w:sz w:val="20"/>
                <w:szCs w:val="20"/>
              </w:rPr>
              <w:t>Mental Health</w:t>
            </w:r>
          </w:p>
          <w:p w:rsidR="00FB529E" w:rsidRPr="00AA3158" w:rsidRDefault="00FB529E" w:rsidP="00244DB6">
            <w:pPr>
              <w:pStyle w:val="ListParagraph"/>
              <w:ind w:left="0"/>
              <w:rPr>
                <w:rFonts w:ascii="Cambria" w:hAnsi="Cambria"/>
                <w:sz w:val="20"/>
                <w:szCs w:val="20"/>
              </w:rPr>
            </w:pPr>
            <w:r w:rsidRPr="00AA3158">
              <w:rPr>
                <w:rFonts w:ascii="Cambria" w:hAnsi="Cambria"/>
                <w:sz w:val="20"/>
                <w:szCs w:val="20"/>
              </w:rPr>
              <w:t>Provisional Outturn</w:t>
            </w:r>
          </w:p>
        </w:tc>
        <w:tc>
          <w:tcPr>
            <w:tcW w:w="2618" w:type="dxa"/>
            <w:tcBorders>
              <w:left w:val="single" w:sz="8" w:space="0" w:color="1F497D"/>
              <w:right w:val="single" w:sz="8" w:space="0" w:color="1F497D"/>
            </w:tcBorders>
            <w:shd w:val="clear" w:color="auto" w:fill="B8CCE4"/>
          </w:tcPr>
          <w:p w:rsidR="00FB529E" w:rsidRPr="00AA3158" w:rsidRDefault="00FB529E" w:rsidP="00244DB6">
            <w:pPr>
              <w:pStyle w:val="ListParagraph"/>
              <w:ind w:left="0"/>
              <w:rPr>
                <w:rFonts w:ascii="Cambria" w:hAnsi="Cambria"/>
                <w:sz w:val="20"/>
                <w:szCs w:val="20"/>
              </w:rPr>
            </w:pPr>
            <w:r w:rsidRPr="00AA3158">
              <w:rPr>
                <w:rFonts w:ascii="Cambria" w:hAnsi="Cambria"/>
                <w:sz w:val="20"/>
                <w:szCs w:val="20"/>
              </w:rPr>
              <w:t>Provisional Out-turn</w:t>
            </w:r>
          </w:p>
          <w:p w:rsidR="00FB529E" w:rsidRPr="00AA3158" w:rsidRDefault="00FB529E" w:rsidP="00244DB6">
            <w:pPr>
              <w:pStyle w:val="ListParagraph"/>
              <w:ind w:left="0"/>
              <w:rPr>
                <w:rFonts w:ascii="Cambria" w:hAnsi="Cambria"/>
                <w:sz w:val="20"/>
                <w:szCs w:val="20"/>
              </w:rPr>
            </w:pPr>
            <w:r w:rsidRPr="00AA3158">
              <w:rPr>
                <w:rFonts w:ascii="Cambria" w:hAnsi="Cambria"/>
                <w:sz w:val="20"/>
                <w:szCs w:val="20"/>
              </w:rPr>
              <w:t>€’000</w:t>
            </w:r>
          </w:p>
        </w:tc>
      </w:tr>
      <w:tr w:rsidR="00FB529E" w:rsidRPr="00AA3158" w:rsidTr="00244DB6">
        <w:tc>
          <w:tcPr>
            <w:tcW w:w="4219" w:type="dxa"/>
            <w:tcBorders>
              <w:top w:val="nil"/>
              <w:bottom w:val="nil"/>
              <w:right w:val="single" w:sz="8" w:space="0" w:color="1F497D"/>
            </w:tcBorders>
            <w:shd w:val="clear" w:color="auto" w:fill="auto"/>
          </w:tcPr>
          <w:p w:rsidR="00FB529E" w:rsidRPr="00AA3158" w:rsidRDefault="00FB529E" w:rsidP="00244DB6">
            <w:pPr>
              <w:pStyle w:val="ListParagraph"/>
              <w:ind w:left="0"/>
              <w:rPr>
                <w:rFonts w:ascii="Cambria" w:hAnsi="Cambria"/>
                <w:sz w:val="20"/>
                <w:szCs w:val="20"/>
              </w:rPr>
            </w:pPr>
            <w:r>
              <w:rPr>
                <w:rFonts w:ascii="Cambria" w:hAnsi="Cambria"/>
                <w:sz w:val="20"/>
                <w:szCs w:val="20"/>
              </w:rPr>
              <w:t xml:space="preserve">    </w:t>
            </w:r>
            <w:r w:rsidRPr="00AA3158">
              <w:rPr>
                <w:rFonts w:ascii="Cambria" w:hAnsi="Cambria"/>
                <w:sz w:val="20"/>
                <w:szCs w:val="20"/>
              </w:rPr>
              <w:t xml:space="preserve">2009 </w:t>
            </w:r>
          </w:p>
        </w:tc>
        <w:tc>
          <w:tcPr>
            <w:tcW w:w="2618" w:type="dxa"/>
            <w:tcBorders>
              <w:top w:val="nil"/>
              <w:left w:val="single" w:sz="8" w:space="0" w:color="1F497D"/>
              <w:bottom w:val="nil"/>
              <w:right w:val="single" w:sz="8" w:space="0" w:color="1F497D"/>
            </w:tcBorders>
          </w:tcPr>
          <w:p w:rsidR="00FB529E" w:rsidRPr="00AA3158" w:rsidRDefault="00FB529E" w:rsidP="00244DB6">
            <w:pPr>
              <w:pStyle w:val="ListParagraph"/>
              <w:ind w:left="0"/>
              <w:rPr>
                <w:rFonts w:ascii="Cambria" w:hAnsi="Cambria"/>
                <w:sz w:val="20"/>
                <w:szCs w:val="20"/>
              </w:rPr>
            </w:pPr>
            <w:r>
              <w:rPr>
                <w:rFonts w:ascii="Cambria" w:hAnsi="Cambria"/>
                <w:sz w:val="20"/>
                <w:szCs w:val="20"/>
              </w:rPr>
              <w:t xml:space="preserve">  </w:t>
            </w:r>
            <w:r w:rsidRPr="00AA3158">
              <w:rPr>
                <w:rFonts w:ascii="Cambria" w:hAnsi="Cambria"/>
                <w:sz w:val="20"/>
                <w:szCs w:val="20"/>
              </w:rPr>
              <w:t>1,006,682</w:t>
            </w:r>
          </w:p>
        </w:tc>
      </w:tr>
      <w:tr w:rsidR="00FB529E" w:rsidRPr="00AA3158" w:rsidTr="00244DB6">
        <w:tc>
          <w:tcPr>
            <w:tcW w:w="4219" w:type="dxa"/>
            <w:tcBorders>
              <w:top w:val="nil"/>
              <w:bottom w:val="nil"/>
              <w:right w:val="single" w:sz="8" w:space="0" w:color="1F497D"/>
            </w:tcBorders>
            <w:shd w:val="clear" w:color="auto" w:fill="auto"/>
          </w:tcPr>
          <w:p w:rsidR="00FB529E" w:rsidRPr="00AA3158" w:rsidRDefault="00FB529E" w:rsidP="00244DB6">
            <w:pPr>
              <w:pStyle w:val="ListParagraph"/>
              <w:ind w:left="0"/>
              <w:rPr>
                <w:rFonts w:ascii="Cambria" w:hAnsi="Cambria"/>
                <w:sz w:val="20"/>
                <w:szCs w:val="20"/>
              </w:rPr>
            </w:pPr>
            <w:r w:rsidRPr="00AA3158">
              <w:rPr>
                <w:rFonts w:ascii="Cambria" w:hAnsi="Cambria"/>
                <w:sz w:val="20"/>
                <w:szCs w:val="20"/>
              </w:rPr>
              <w:t xml:space="preserve">    2010 </w:t>
            </w:r>
          </w:p>
        </w:tc>
        <w:tc>
          <w:tcPr>
            <w:tcW w:w="2618" w:type="dxa"/>
            <w:tcBorders>
              <w:top w:val="nil"/>
              <w:left w:val="single" w:sz="8" w:space="0" w:color="1F497D"/>
              <w:bottom w:val="nil"/>
              <w:right w:val="single" w:sz="8" w:space="0" w:color="1F497D"/>
            </w:tcBorders>
          </w:tcPr>
          <w:p w:rsidR="00FB529E" w:rsidRPr="00AA3158" w:rsidRDefault="00FB529E" w:rsidP="00244DB6">
            <w:pPr>
              <w:pStyle w:val="ListParagraph"/>
              <w:ind w:left="0"/>
              <w:rPr>
                <w:rFonts w:ascii="Cambria" w:hAnsi="Cambria"/>
                <w:sz w:val="20"/>
                <w:szCs w:val="20"/>
              </w:rPr>
            </w:pPr>
            <w:r>
              <w:rPr>
                <w:rFonts w:ascii="Cambria" w:hAnsi="Cambria"/>
                <w:sz w:val="20"/>
                <w:szCs w:val="20"/>
              </w:rPr>
              <w:t xml:space="preserve">     </w:t>
            </w:r>
            <w:r w:rsidRPr="00AA3158">
              <w:rPr>
                <w:rFonts w:ascii="Cambria" w:hAnsi="Cambria"/>
                <w:sz w:val="20"/>
                <w:szCs w:val="20"/>
              </w:rPr>
              <w:t>963,324</w:t>
            </w:r>
          </w:p>
        </w:tc>
      </w:tr>
      <w:tr w:rsidR="00FB529E" w:rsidRPr="00AA3158" w:rsidTr="00244DB6">
        <w:tc>
          <w:tcPr>
            <w:tcW w:w="4219" w:type="dxa"/>
            <w:tcBorders>
              <w:top w:val="nil"/>
              <w:bottom w:val="nil"/>
              <w:right w:val="single" w:sz="8" w:space="0" w:color="1F497D"/>
            </w:tcBorders>
            <w:shd w:val="clear" w:color="auto" w:fill="auto"/>
          </w:tcPr>
          <w:p w:rsidR="00FB529E" w:rsidRPr="00AA3158" w:rsidRDefault="00FB529E" w:rsidP="00244DB6">
            <w:pPr>
              <w:pStyle w:val="ListParagraph"/>
              <w:ind w:left="0"/>
              <w:rPr>
                <w:rFonts w:ascii="Cambria" w:hAnsi="Cambria"/>
                <w:sz w:val="20"/>
                <w:szCs w:val="20"/>
              </w:rPr>
            </w:pPr>
            <w:r w:rsidRPr="00AA3158">
              <w:rPr>
                <w:rFonts w:ascii="Cambria" w:hAnsi="Cambria"/>
                <w:sz w:val="20"/>
                <w:szCs w:val="20"/>
              </w:rPr>
              <w:t xml:space="preserve">    2011 </w:t>
            </w:r>
          </w:p>
        </w:tc>
        <w:tc>
          <w:tcPr>
            <w:tcW w:w="2618" w:type="dxa"/>
            <w:tcBorders>
              <w:top w:val="nil"/>
              <w:left w:val="single" w:sz="8" w:space="0" w:color="1F497D"/>
              <w:bottom w:val="nil"/>
              <w:right w:val="single" w:sz="8" w:space="0" w:color="1F497D"/>
            </w:tcBorders>
          </w:tcPr>
          <w:p w:rsidR="00FB529E" w:rsidRPr="00AA3158" w:rsidRDefault="00FB529E" w:rsidP="00244DB6">
            <w:pPr>
              <w:pStyle w:val="ListParagraph"/>
              <w:ind w:left="0"/>
              <w:rPr>
                <w:rFonts w:ascii="Cambria" w:hAnsi="Cambria"/>
                <w:sz w:val="20"/>
                <w:szCs w:val="20"/>
              </w:rPr>
            </w:pPr>
            <w:r>
              <w:rPr>
                <w:rFonts w:ascii="Cambria" w:hAnsi="Cambria"/>
                <w:sz w:val="20"/>
                <w:szCs w:val="20"/>
              </w:rPr>
              <w:t xml:space="preserve">     </w:t>
            </w:r>
            <w:r w:rsidRPr="00AA3158">
              <w:rPr>
                <w:rFonts w:ascii="Cambria" w:hAnsi="Cambria"/>
                <w:sz w:val="20"/>
                <w:szCs w:val="20"/>
              </w:rPr>
              <w:t>712,000</w:t>
            </w:r>
          </w:p>
        </w:tc>
      </w:tr>
      <w:tr w:rsidR="00FB529E" w:rsidRPr="00AA3158" w:rsidTr="00244DB6">
        <w:tc>
          <w:tcPr>
            <w:tcW w:w="4219" w:type="dxa"/>
            <w:tcBorders>
              <w:top w:val="nil"/>
              <w:bottom w:val="nil"/>
              <w:right w:val="single" w:sz="8" w:space="0" w:color="1F497D"/>
            </w:tcBorders>
            <w:shd w:val="clear" w:color="auto" w:fill="auto"/>
          </w:tcPr>
          <w:p w:rsidR="00FB529E" w:rsidRDefault="00FB529E" w:rsidP="00244DB6">
            <w:pPr>
              <w:pStyle w:val="ListParagraph"/>
              <w:ind w:left="0"/>
              <w:rPr>
                <w:rFonts w:ascii="Cambria" w:hAnsi="Cambria"/>
                <w:sz w:val="20"/>
                <w:szCs w:val="20"/>
              </w:rPr>
            </w:pPr>
            <w:r>
              <w:rPr>
                <w:rFonts w:ascii="Cambria" w:hAnsi="Cambria"/>
                <w:sz w:val="20"/>
                <w:szCs w:val="20"/>
              </w:rPr>
              <w:t xml:space="preserve">    2012</w:t>
            </w:r>
          </w:p>
          <w:p w:rsidR="00FB529E" w:rsidRDefault="00FB529E" w:rsidP="00244DB6">
            <w:pPr>
              <w:pStyle w:val="ListParagraph"/>
              <w:ind w:left="0"/>
              <w:rPr>
                <w:rFonts w:ascii="Cambria" w:hAnsi="Cambria"/>
                <w:sz w:val="20"/>
                <w:szCs w:val="20"/>
              </w:rPr>
            </w:pPr>
            <w:r>
              <w:rPr>
                <w:rFonts w:ascii="Cambria" w:hAnsi="Cambria"/>
                <w:sz w:val="20"/>
                <w:szCs w:val="20"/>
              </w:rPr>
              <w:t xml:space="preserve">    2013</w:t>
            </w:r>
          </w:p>
          <w:p w:rsidR="00FB529E" w:rsidRPr="00AA3158" w:rsidRDefault="00FB529E" w:rsidP="00244DB6">
            <w:pPr>
              <w:pStyle w:val="ListParagraph"/>
              <w:ind w:left="0"/>
              <w:rPr>
                <w:rFonts w:ascii="Cambria" w:hAnsi="Cambria"/>
                <w:sz w:val="20"/>
                <w:szCs w:val="20"/>
              </w:rPr>
            </w:pPr>
            <w:r>
              <w:rPr>
                <w:rFonts w:ascii="Cambria" w:hAnsi="Cambria"/>
                <w:sz w:val="20"/>
                <w:szCs w:val="20"/>
              </w:rPr>
              <w:t xml:space="preserve">    2014</w:t>
            </w:r>
          </w:p>
        </w:tc>
        <w:tc>
          <w:tcPr>
            <w:tcW w:w="2618" w:type="dxa"/>
            <w:tcBorders>
              <w:top w:val="nil"/>
              <w:left w:val="single" w:sz="8" w:space="0" w:color="1F497D"/>
              <w:bottom w:val="nil"/>
              <w:right w:val="single" w:sz="8" w:space="0" w:color="1F497D"/>
            </w:tcBorders>
          </w:tcPr>
          <w:p w:rsidR="00FB529E" w:rsidRDefault="00FB529E" w:rsidP="00244DB6">
            <w:pPr>
              <w:pStyle w:val="ListParagraph"/>
              <w:ind w:left="0"/>
              <w:rPr>
                <w:rFonts w:ascii="Cambria" w:hAnsi="Cambria"/>
                <w:sz w:val="20"/>
                <w:szCs w:val="20"/>
              </w:rPr>
            </w:pPr>
            <w:r>
              <w:rPr>
                <w:rFonts w:ascii="Cambria" w:hAnsi="Cambria"/>
                <w:sz w:val="20"/>
                <w:szCs w:val="20"/>
              </w:rPr>
              <w:t xml:space="preserve">     </w:t>
            </w:r>
            <w:r w:rsidRPr="00AA3158">
              <w:rPr>
                <w:rFonts w:ascii="Cambria" w:hAnsi="Cambria"/>
                <w:sz w:val="20"/>
                <w:szCs w:val="20"/>
              </w:rPr>
              <w:t>711,000</w:t>
            </w:r>
          </w:p>
          <w:p w:rsidR="00FB529E" w:rsidRDefault="00FB529E" w:rsidP="00244DB6">
            <w:pPr>
              <w:pStyle w:val="ListParagraph"/>
              <w:ind w:left="0"/>
              <w:rPr>
                <w:rFonts w:ascii="Cambria" w:hAnsi="Cambria"/>
                <w:sz w:val="20"/>
                <w:szCs w:val="20"/>
              </w:rPr>
            </w:pPr>
            <w:r>
              <w:rPr>
                <w:rFonts w:ascii="Cambria" w:hAnsi="Cambria"/>
                <w:sz w:val="20"/>
                <w:szCs w:val="20"/>
              </w:rPr>
              <w:t xml:space="preserve">     733,000</w:t>
            </w:r>
          </w:p>
          <w:p w:rsidR="00FB529E" w:rsidRPr="00AA3158" w:rsidRDefault="00FB529E" w:rsidP="00244DB6">
            <w:pPr>
              <w:pStyle w:val="ListParagraph"/>
              <w:ind w:left="0"/>
              <w:rPr>
                <w:rFonts w:ascii="Cambria" w:hAnsi="Cambria"/>
                <w:sz w:val="20"/>
                <w:szCs w:val="20"/>
              </w:rPr>
            </w:pPr>
            <w:r>
              <w:rPr>
                <w:rFonts w:ascii="Cambria" w:hAnsi="Cambria"/>
                <w:sz w:val="20"/>
                <w:szCs w:val="20"/>
              </w:rPr>
              <w:t xml:space="preserve">     765,000</w:t>
            </w:r>
          </w:p>
        </w:tc>
      </w:tr>
      <w:tr w:rsidR="00FB529E" w:rsidRPr="00AA3158" w:rsidTr="00244DB6">
        <w:tc>
          <w:tcPr>
            <w:tcW w:w="4219" w:type="dxa"/>
            <w:tcBorders>
              <w:top w:val="single" w:sz="18" w:space="0" w:color="1F497D"/>
              <w:right w:val="single" w:sz="8" w:space="0" w:color="1F497D"/>
            </w:tcBorders>
            <w:shd w:val="clear" w:color="auto" w:fill="auto"/>
          </w:tcPr>
          <w:p w:rsidR="00FB529E" w:rsidRPr="00AA3158" w:rsidRDefault="00FB529E" w:rsidP="00244DB6">
            <w:pPr>
              <w:pStyle w:val="ListParagraph"/>
              <w:ind w:left="0"/>
              <w:rPr>
                <w:rFonts w:ascii="Cambria" w:hAnsi="Cambria"/>
                <w:i/>
                <w:sz w:val="20"/>
                <w:szCs w:val="20"/>
              </w:rPr>
            </w:pPr>
            <w:r>
              <w:rPr>
                <w:rFonts w:ascii="Cambria" w:hAnsi="Cambria"/>
                <w:i/>
                <w:sz w:val="20"/>
                <w:szCs w:val="20"/>
              </w:rPr>
              <w:t>% Change 2009</w:t>
            </w:r>
            <w:r w:rsidRPr="00AA3158">
              <w:rPr>
                <w:rFonts w:ascii="Cambria" w:hAnsi="Cambria"/>
                <w:i/>
                <w:sz w:val="20"/>
                <w:szCs w:val="20"/>
              </w:rPr>
              <w:t xml:space="preserve"> – 20</w:t>
            </w:r>
            <w:r>
              <w:rPr>
                <w:rFonts w:ascii="Cambria" w:hAnsi="Cambria"/>
                <w:i/>
                <w:sz w:val="20"/>
                <w:szCs w:val="20"/>
              </w:rPr>
              <w:t>14</w:t>
            </w:r>
          </w:p>
        </w:tc>
        <w:tc>
          <w:tcPr>
            <w:tcW w:w="2618" w:type="dxa"/>
            <w:tcBorders>
              <w:top w:val="single" w:sz="18" w:space="0" w:color="1F497D"/>
              <w:left w:val="single" w:sz="8" w:space="0" w:color="1F497D"/>
              <w:right w:val="single" w:sz="8" w:space="0" w:color="1F497D"/>
            </w:tcBorders>
          </w:tcPr>
          <w:p w:rsidR="00FB529E" w:rsidRPr="00AA3158" w:rsidRDefault="00FB529E" w:rsidP="00244DB6">
            <w:pPr>
              <w:pStyle w:val="ListParagraph"/>
              <w:ind w:left="0"/>
              <w:rPr>
                <w:rFonts w:ascii="Cambria" w:hAnsi="Cambria"/>
                <w:i/>
                <w:sz w:val="20"/>
                <w:szCs w:val="20"/>
              </w:rPr>
            </w:pPr>
            <w:r>
              <w:rPr>
                <w:rFonts w:ascii="Cambria" w:hAnsi="Cambria"/>
                <w:i/>
                <w:sz w:val="20"/>
                <w:szCs w:val="20"/>
              </w:rPr>
              <w:t xml:space="preserve">  - 241</w:t>
            </w:r>
            <w:r w:rsidRPr="00AA3158">
              <w:rPr>
                <w:rFonts w:ascii="Cambria" w:hAnsi="Cambria"/>
                <w:i/>
                <w:sz w:val="20"/>
                <w:szCs w:val="20"/>
              </w:rPr>
              <w:t>,682</w:t>
            </w:r>
            <w:r>
              <w:rPr>
                <w:rFonts w:ascii="Cambria" w:hAnsi="Cambria"/>
                <w:i/>
                <w:sz w:val="20"/>
                <w:szCs w:val="20"/>
              </w:rPr>
              <w:t xml:space="preserve">                       -25</w:t>
            </w:r>
            <w:r w:rsidRPr="00AA3158">
              <w:rPr>
                <w:rFonts w:ascii="Cambria" w:hAnsi="Cambria"/>
                <w:i/>
                <w:sz w:val="20"/>
                <w:szCs w:val="20"/>
              </w:rPr>
              <w:t>%</w:t>
            </w:r>
          </w:p>
        </w:tc>
      </w:tr>
    </w:tbl>
    <w:p w:rsidR="00FB529E" w:rsidRPr="001362A3" w:rsidRDefault="00FB529E" w:rsidP="00244DB6">
      <w:pPr>
        <w:tabs>
          <w:tab w:val="left" w:pos="960"/>
        </w:tabs>
        <w:rPr>
          <w:rFonts w:ascii="Cambria" w:hAnsi="Cambria"/>
          <w:i/>
          <w:sz w:val="20"/>
          <w:szCs w:val="20"/>
        </w:rPr>
      </w:pPr>
      <w:r w:rsidRPr="001362A3">
        <w:rPr>
          <w:rFonts w:ascii="Cambria" w:hAnsi="Cambria"/>
          <w:i/>
          <w:sz w:val="20"/>
          <w:szCs w:val="20"/>
        </w:rPr>
        <w:t>Source:  Department of Finance</w:t>
      </w:r>
      <w:r>
        <w:rPr>
          <w:rFonts w:ascii="Cambria" w:hAnsi="Cambria"/>
          <w:i/>
          <w:sz w:val="20"/>
          <w:szCs w:val="20"/>
        </w:rPr>
        <w:t>, National Service Plan 2014</w:t>
      </w:r>
    </w:p>
    <w:p w:rsidR="00FB529E" w:rsidRDefault="00FB529E" w:rsidP="0012523B">
      <w:pPr>
        <w:pStyle w:val="ListParagraph"/>
        <w:ind w:left="0"/>
        <w:rPr>
          <w:sz w:val="20"/>
          <w:szCs w:val="20"/>
        </w:rPr>
      </w:pPr>
    </w:p>
    <w:p w:rsidR="00FB529E" w:rsidRPr="009563EF" w:rsidRDefault="00FB529E" w:rsidP="00FB529E">
      <w:pPr>
        <w:pStyle w:val="ListParagraph"/>
        <w:numPr>
          <w:ilvl w:val="1"/>
          <w:numId w:val="8"/>
        </w:numPr>
        <w:ind w:left="0"/>
        <w:jc w:val="both"/>
        <w:rPr>
          <w:sz w:val="20"/>
          <w:szCs w:val="20"/>
        </w:rPr>
      </w:pPr>
      <w:r>
        <w:rPr>
          <w:sz w:val="20"/>
          <w:szCs w:val="20"/>
        </w:rPr>
        <w:t>T</w:t>
      </w:r>
      <w:r w:rsidRPr="008D6D59">
        <w:rPr>
          <w:sz w:val="20"/>
          <w:szCs w:val="20"/>
        </w:rPr>
        <w:t>he failure to recruit</w:t>
      </w:r>
      <w:r>
        <w:rPr>
          <w:sz w:val="20"/>
          <w:szCs w:val="20"/>
        </w:rPr>
        <w:t xml:space="preserve"> frontline</w:t>
      </w:r>
      <w:r w:rsidRPr="008D6D59">
        <w:rPr>
          <w:sz w:val="20"/>
          <w:szCs w:val="20"/>
        </w:rPr>
        <w:t xml:space="preserve"> staff as planned and fill consultant psychiatrist posts on a permanent basis</w:t>
      </w:r>
      <w:r>
        <w:rPr>
          <w:sz w:val="20"/>
          <w:szCs w:val="20"/>
        </w:rPr>
        <w:t xml:space="preserve"> is undermining the provision of mental health care services to patients. This is a particularly worrying development at a time when</w:t>
      </w:r>
      <w:r w:rsidRPr="008D6D59">
        <w:rPr>
          <w:sz w:val="20"/>
          <w:szCs w:val="20"/>
          <w:lang w:val="en-GB"/>
        </w:rPr>
        <w:t xml:space="preserve"> demand for care has grown substantially due to the country’s increasing and ageing population. </w:t>
      </w:r>
      <w:r>
        <w:rPr>
          <w:sz w:val="20"/>
          <w:szCs w:val="20"/>
          <w:lang w:val="en-GB"/>
        </w:rPr>
        <w:t xml:space="preserve"> </w:t>
      </w:r>
    </w:p>
    <w:p w:rsidR="00FB529E" w:rsidRPr="009563EF" w:rsidRDefault="00FB529E" w:rsidP="009563EF">
      <w:pPr>
        <w:pStyle w:val="ListParagraph"/>
        <w:ind w:left="0"/>
        <w:rPr>
          <w:sz w:val="20"/>
          <w:szCs w:val="20"/>
        </w:rPr>
      </w:pPr>
    </w:p>
    <w:p w:rsidR="00FB529E" w:rsidRDefault="00FB529E" w:rsidP="00FB529E">
      <w:pPr>
        <w:pStyle w:val="ListParagraph"/>
        <w:numPr>
          <w:ilvl w:val="1"/>
          <w:numId w:val="8"/>
        </w:numPr>
        <w:ind w:left="0"/>
        <w:jc w:val="both"/>
        <w:rPr>
          <w:sz w:val="20"/>
          <w:szCs w:val="20"/>
        </w:rPr>
      </w:pPr>
      <w:r w:rsidRPr="009563EF">
        <w:rPr>
          <w:sz w:val="20"/>
          <w:szCs w:val="20"/>
        </w:rPr>
        <w:t>In May 2014, 76% of accepted referrals (against a target of 75%) to child and adolescent Community Mental Health Teams were offered a first appointment and seen within three months. The performance in May s</w:t>
      </w:r>
      <w:r>
        <w:rPr>
          <w:sz w:val="20"/>
          <w:szCs w:val="20"/>
        </w:rPr>
        <w:t xml:space="preserve">hows an increase of 3% compared with the April. In addition, </w:t>
      </w:r>
      <w:r w:rsidRPr="009563EF">
        <w:rPr>
          <w:sz w:val="20"/>
          <w:szCs w:val="20"/>
        </w:rPr>
        <w:t>the number of involuntary admissions to acute adult units</w:t>
      </w:r>
      <w:r>
        <w:rPr>
          <w:sz w:val="20"/>
          <w:szCs w:val="20"/>
        </w:rPr>
        <w:t xml:space="preserve"> in 2013 </w:t>
      </w:r>
      <w:r w:rsidRPr="009563EF">
        <w:rPr>
          <w:sz w:val="20"/>
          <w:szCs w:val="20"/>
        </w:rPr>
        <w:t>totaled</w:t>
      </w:r>
      <w:r>
        <w:rPr>
          <w:sz w:val="20"/>
          <w:szCs w:val="20"/>
        </w:rPr>
        <w:t xml:space="preserve"> 1,741, </w:t>
      </w:r>
      <w:r w:rsidRPr="009563EF">
        <w:rPr>
          <w:sz w:val="20"/>
          <w:szCs w:val="20"/>
        </w:rPr>
        <w:t>a 5% incr</w:t>
      </w:r>
      <w:r>
        <w:rPr>
          <w:sz w:val="20"/>
          <w:szCs w:val="20"/>
        </w:rPr>
        <w:t>ease on</w:t>
      </w:r>
      <w:r w:rsidRPr="009563EF">
        <w:rPr>
          <w:sz w:val="20"/>
          <w:szCs w:val="20"/>
        </w:rPr>
        <w:t xml:space="preserve"> 2012</w:t>
      </w:r>
      <w:r>
        <w:rPr>
          <w:sz w:val="20"/>
          <w:szCs w:val="20"/>
        </w:rPr>
        <w:t>.</w:t>
      </w:r>
    </w:p>
    <w:p w:rsidR="00FB529E" w:rsidRDefault="00FB529E" w:rsidP="009563EF">
      <w:pPr>
        <w:pStyle w:val="ListParagraph"/>
        <w:rPr>
          <w:sz w:val="20"/>
          <w:szCs w:val="20"/>
        </w:rPr>
      </w:pPr>
    </w:p>
    <w:p w:rsidR="00FB529E" w:rsidRDefault="00FB529E" w:rsidP="00FB529E">
      <w:pPr>
        <w:pStyle w:val="ListParagraph"/>
        <w:numPr>
          <w:ilvl w:val="1"/>
          <w:numId w:val="8"/>
        </w:numPr>
        <w:ind w:left="0"/>
        <w:jc w:val="both"/>
        <w:rPr>
          <w:sz w:val="20"/>
          <w:szCs w:val="20"/>
        </w:rPr>
      </w:pPr>
      <w:r w:rsidRPr="009563EF">
        <w:rPr>
          <w:sz w:val="20"/>
          <w:szCs w:val="20"/>
        </w:rPr>
        <w:t>Child and Adolescent Ment</w:t>
      </w:r>
      <w:r>
        <w:rPr>
          <w:sz w:val="20"/>
          <w:szCs w:val="20"/>
        </w:rPr>
        <w:t xml:space="preserve">al Health Services have </w:t>
      </w:r>
      <w:r w:rsidRPr="009563EF">
        <w:rPr>
          <w:sz w:val="20"/>
          <w:szCs w:val="20"/>
        </w:rPr>
        <w:t>reported an increase in the</w:t>
      </w:r>
      <w:r>
        <w:rPr>
          <w:sz w:val="20"/>
          <w:szCs w:val="20"/>
        </w:rPr>
        <w:t xml:space="preserve"> number on waiting l</w:t>
      </w:r>
      <w:r w:rsidRPr="009563EF">
        <w:rPr>
          <w:sz w:val="20"/>
          <w:szCs w:val="20"/>
        </w:rPr>
        <w:t>ist to 3,029 cases, a 11</w:t>
      </w:r>
      <w:r>
        <w:rPr>
          <w:sz w:val="20"/>
          <w:szCs w:val="20"/>
        </w:rPr>
        <w:t>% increase on the same period last year</w:t>
      </w:r>
      <w:r w:rsidRPr="009563EF">
        <w:rPr>
          <w:sz w:val="20"/>
          <w:szCs w:val="20"/>
        </w:rPr>
        <w:t xml:space="preserve">. </w:t>
      </w:r>
    </w:p>
    <w:p w:rsidR="00FB529E" w:rsidRDefault="00FB529E" w:rsidP="009563EF">
      <w:pPr>
        <w:pStyle w:val="ListParagraph"/>
        <w:rPr>
          <w:sz w:val="20"/>
          <w:szCs w:val="20"/>
        </w:rPr>
      </w:pPr>
    </w:p>
    <w:p w:rsidR="00FB529E" w:rsidRPr="009563EF" w:rsidRDefault="00FB529E" w:rsidP="00FB529E">
      <w:pPr>
        <w:pStyle w:val="ListParagraph"/>
        <w:numPr>
          <w:ilvl w:val="1"/>
          <w:numId w:val="8"/>
        </w:numPr>
        <w:ind w:left="0"/>
        <w:jc w:val="both"/>
        <w:rPr>
          <w:sz w:val="20"/>
          <w:szCs w:val="20"/>
        </w:rPr>
      </w:pPr>
      <w:r w:rsidRPr="009563EF">
        <w:rPr>
          <w:sz w:val="20"/>
          <w:szCs w:val="20"/>
        </w:rPr>
        <w:t xml:space="preserve"> The Association is concerned that comprehensive mental health activity data is not included in the HSE Performance Reports.  The data included in the reports changes over time making it difficult to comprehensively map current performance against Vision for Change targets and year on year trends.</w:t>
      </w:r>
    </w:p>
    <w:p w:rsidR="00FB529E" w:rsidRPr="00F2337D" w:rsidRDefault="00FB529E" w:rsidP="001362A3">
      <w:pPr>
        <w:tabs>
          <w:tab w:val="left" w:pos="960"/>
        </w:tabs>
        <w:rPr>
          <w:sz w:val="20"/>
          <w:szCs w:val="20"/>
        </w:rPr>
      </w:pPr>
    </w:p>
    <w:p w:rsidR="00FB529E" w:rsidRPr="00F2337D" w:rsidRDefault="00FB529E" w:rsidP="00701C45">
      <w:pPr>
        <w:pStyle w:val="ListParagraph"/>
        <w:shd w:val="clear" w:color="auto" w:fill="EEECE1"/>
        <w:ind w:left="0"/>
        <w:rPr>
          <w:b/>
          <w:sz w:val="20"/>
          <w:szCs w:val="20"/>
        </w:rPr>
      </w:pPr>
      <w:r w:rsidRPr="00F2337D">
        <w:rPr>
          <w:b/>
          <w:sz w:val="20"/>
          <w:szCs w:val="20"/>
        </w:rPr>
        <w:t>IHCA Submission:</w:t>
      </w:r>
    </w:p>
    <w:p w:rsidR="00FB529E" w:rsidRPr="00F2337D" w:rsidRDefault="00FB529E" w:rsidP="000A044F">
      <w:pPr>
        <w:pStyle w:val="ListParagraph"/>
        <w:shd w:val="clear" w:color="auto" w:fill="EEECE1"/>
        <w:ind w:left="0"/>
        <w:rPr>
          <w:sz w:val="20"/>
          <w:szCs w:val="20"/>
          <w:lang w:val="en-GB"/>
        </w:rPr>
      </w:pPr>
      <w:r>
        <w:rPr>
          <w:sz w:val="20"/>
          <w:szCs w:val="20"/>
          <w:lang w:val="en-GB"/>
        </w:rPr>
        <w:t xml:space="preserve">The additional €20 million provided for Mental Health Services in the 2014 Budget must be used on a timely basis to recruit additional staff and improve care for patients. This funding should be increased in next year’s budget to improve staffing levels further.  </w:t>
      </w:r>
    </w:p>
    <w:p w:rsidR="00FB529E" w:rsidRPr="00F2337D" w:rsidRDefault="00FB529E" w:rsidP="00F2337D">
      <w:pPr>
        <w:pStyle w:val="Style1"/>
        <w:tabs>
          <w:tab w:val="clear" w:pos="360"/>
        </w:tabs>
        <w:spacing w:before="0"/>
        <w:rPr>
          <w:rFonts w:ascii="Calibri" w:hAnsi="Calibri"/>
          <w:color w:val="auto"/>
          <w:sz w:val="20"/>
          <w:szCs w:val="20"/>
          <w:lang w:val="en-GB"/>
        </w:rPr>
      </w:pPr>
    </w:p>
    <w:p w:rsidR="00FB529E" w:rsidRPr="00F2337D" w:rsidRDefault="00FB529E" w:rsidP="00602E23">
      <w:pPr>
        <w:pStyle w:val="Style3"/>
      </w:pPr>
      <w:bookmarkStart w:id="21" w:name="_Toc393724545"/>
      <w:bookmarkStart w:id="22" w:name="_Toc393875685"/>
      <w:r>
        <w:t>Staffing Issues</w:t>
      </w:r>
      <w:r w:rsidRPr="00F2337D">
        <w:t>.</w:t>
      </w:r>
      <w:bookmarkEnd w:id="21"/>
      <w:bookmarkEnd w:id="22"/>
    </w:p>
    <w:p w:rsidR="00FB529E" w:rsidRPr="00F2337D" w:rsidRDefault="00FB529E" w:rsidP="00F2337D">
      <w:pPr>
        <w:pStyle w:val="ListParagraph"/>
        <w:ind w:left="0"/>
        <w:rPr>
          <w:sz w:val="20"/>
          <w:szCs w:val="20"/>
        </w:rPr>
      </w:pPr>
    </w:p>
    <w:p w:rsidR="00FB529E" w:rsidRDefault="00FB529E" w:rsidP="00FB529E">
      <w:pPr>
        <w:pStyle w:val="ListParagraph"/>
        <w:numPr>
          <w:ilvl w:val="1"/>
          <w:numId w:val="10"/>
        </w:numPr>
        <w:ind w:left="0"/>
        <w:jc w:val="both"/>
        <w:rPr>
          <w:sz w:val="20"/>
          <w:szCs w:val="20"/>
        </w:rPr>
      </w:pPr>
      <w:r>
        <w:rPr>
          <w:sz w:val="20"/>
          <w:szCs w:val="20"/>
        </w:rPr>
        <w:t xml:space="preserve">A total of 97,017 WTEs were employed by the HSE in May which is </w:t>
      </w:r>
      <w:r w:rsidRPr="00AE35F6">
        <w:rPr>
          <w:sz w:val="20"/>
          <w:szCs w:val="20"/>
        </w:rPr>
        <w:t>a reduction of 15,754</w:t>
      </w:r>
      <w:r>
        <w:rPr>
          <w:sz w:val="20"/>
          <w:szCs w:val="20"/>
        </w:rPr>
        <w:t xml:space="preserve"> or 14% when compared with September 2007</w:t>
      </w:r>
      <w:r w:rsidRPr="00AE35F6">
        <w:rPr>
          <w:sz w:val="20"/>
          <w:szCs w:val="20"/>
        </w:rPr>
        <w:t>.</w:t>
      </w:r>
    </w:p>
    <w:p w:rsidR="00FB529E" w:rsidRDefault="00FB529E" w:rsidP="00AE35F6">
      <w:pPr>
        <w:pStyle w:val="ListParagraph"/>
        <w:ind w:left="0"/>
        <w:rPr>
          <w:sz w:val="20"/>
          <w:szCs w:val="20"/>
        </w:rPr>
      </w:pPr>
    </w:p>
    <w:p w:rsidR="00FB529E" w:rsidRDefault="00FB529E" w:rsidP="00FB529E">
      <w:pPr>
        <w:pStyle w:val="ListParagraph"/>
        <w:numPr>
          <w:ilvl w:val="1"/>
          <w:numId w:val="10"/>
        </w:numPr>
        <w:ind w:left="0"/>
        <w:jc w:val="both"/>
        <w:rPr>
          <w:sz w:val="20"/>
          <w:szCs w:val="20"/>
        </w:rPr>
      </w:pPr>
      <w:r>
        <w:rPr>
          <w:sz w:val="20"/>
          <w:szCs w:val="20"/>
        </w:rPr>
        <w:t>Further cuts totaling 2,600 in staffing levels are planned</w:t>
      </w:r>
      <w:r w:rsidRPr="00AE35F6">
        <w:rPr>
          <w:sz w:val="20"/>
          <w:szCs w:val="20"/>
        </w:rPr>
        <w:t xml:space="preserve"> this year</w:t>
      </w:r>
      <w:r>
        <w:rPr>
          <w:sz w:val="20"/>
          <w:szCs w:val="20"/>
        </w:rPr>
        <w:t xml:space="preserve">. It is essential that frontline staffing levels are maintained and increased as this is essential to deliver safe, high quality care to patients without delay.  </w:t>
      </w:r>
    </w:p>
    <w:p w:rsidR="00FB529E" w:rsidRDefault="00FB529E" w:rsidP="00AE35F6">
      <w:pPr>
        <w:pStyle w:val="ListParagraph"/>
        <w:rPr>
          <w:sz w:val="20"/>
          <w:szCs w:val="20"/>
        </w:rPr>
      </w:pPr>
    </w:p>
    <w:p w:rsidR="00FB529E" w:rsidRPr="00AE35F6" w:rsidRDefault="00FB529E" w:rsidP="00FB529E">
      <w:pPr>
        <w:pStyle w:val="ListParagraph"/>
        <w:numPr>
          <w:ilvl w:val="1"/>
          <w:numId w:val="10"/>
        </w:numPr>
        <w:ind w:left="0"/>
        <w:jc w:val="both"/>
        <w:rPr>
          <w:sz w:val="20"/>
          <w:szCs w:val="20"/>
        </w:rPr>
      </w:pPr>
      <w:r w:rsidRPr="00AE35F6">
        <w:rPr>
          <w:sz w:val="20"/>
          <w:szCs w:val="20"/>
          <w:lang w:val="en-GB"/>
        </w:rPr>
        <w:t>Currently, Ireland has approximately two thirds the number of Hospital Consultants recommended a decade ago in the Hanly Report. In the interim, the demand for care has grown substantially due to the country’s increasing and ageing population. In some specialties, the country has around one third to half the number of hospital Consultants compared with the recommended international specialty norms.</w:t>
      </w:r>
    </w:p>
    <w:p w:rsidR="00FB529E" w:rsidRDefault="00FB529E" w:rsidP="00A0352A">
      <w:pPr>
        <w:pStyle w:val="ListParagraph"/>
        <w:rPr>
          <w:sz w:val="20"/>
          <w:szCs w:val="20"/>
        </w:rPr>
      </w:pPr>
    </w:p>
    <w:p w:rsidR="00FB529E" w:rsidRPr="00F2337D" w:rsidRDefault="00FB529E" w:rsidP="00A0352A">
      <w:pPr>
        <w:pStyle w:val="ListParagraph"/>
        <w:spacing w:before="240" w:after="200" w:line="276" w:lineRule="auto"/>
        <w:ind w:left="0"/>
        <w:rPr>
          <w:sz w:val="20"/>
          <w:szCs w:val="20"/>
        </w:rPr>
      </w:pPr>
      <w:r w:rsidRPr="00A0352A">
        <w:rPr>
          <w:sz w:val="20"/>
          <w:szCs w:val="20"/>
        </w:rPr>
        <w:t xml:space="preserve"> </w:t>
      </w:r>
    </w:p>
    <w:p w:rsidR="00FB529E" w:rsidRPr="00F2337D" w:rsidRDefault="00FB529E" w:rsidP="00C90E05">
      <w:pPr>
        <w:pStyle w:val="ListParagraph"/>
        <w:shd w:val="clear" w:color="auto" w:fill="EEECE1"/>
        <w:ind w:left="0"/>
        <w:rPr>
          <w:b/>
          <w:sz w:val="20"/>
          <w:szCs w:val="20"/>
        </w:rPr>
      </w:pPr>
      <w:r w:rsidRPr="00F2337D">
        <w:rPr>
          <w:b/>
          <w:sz w:val="20"/>
          <w:szCs w:val="20"/>
        </w:rPr>
        <w:t>IHCA Submission</w:t>
      </w:r>
    </w:p>
    <w:p w:rsidR="00FB529E" w:rsidRPr="001906CF" w:rsidRDefault="00FB529E" w:rsidP="00033C1B">
      <w:pPr>
        <w:pStyle w:val="ListParagraph"/>
        <w:shd w:val="clear" w:color="auto" w:fill="EEECE1"/>
        <w:ind w:left="0"/>
        <w:rPr>
          <w:sz w:val="20"/>
          <w:szCs w:val="20"/>
        </w:rPr>
      </w:pPr>
      <w:r>
        <w:rPr>
          <w:sz w:val="20"/>
          <w:szCs w:val="20"/>
        </w:rPr>
        <w:t xml:space="preserve"> It is essential that the Consultant recruitment and retention crisis, that is causing a medical brain drain, is addressed urgently. The unilateral 30% cut in new Consultant salaries introduced in October 2012 in breach of the Croke Park Agreement must be reversed to ensure the country can recruit and retain the number and calibre of Consultants it needs. </w:t>
      </w:r>
    </w:p>
    <w:p w:rsidR="00FB529E" w:rsidRPr="00F2337D" w:rsidRDefault="00FB529E" w:rsidP="00F2337D">
      <w:pPr>
        <w:pStyle w:val="Style1"/>
        <w:tabs>
          <w:tab w:val="clear" w:pos="360"/>
        </w:tabs>
        <w:spacing w:before="0"/>
        <w:rPr>
          <w:rFonts w:ascii="Calibri" w:hAnsi="Calibri"/>
          <w:color w:val="auto"/>
          <w:sz w:val="20"/>
          <w:szCs w:val="20"/>
          <w:lang w:val="en-GB"/>
        </w:rPr>
      </w:pPr>
    </w:p>
    <w:p w:rsidR="00FB529E" w:rsidRPr="00F2337D" w:rsidRDefault="00FB529E" w:rsidP="00602E23">
      <w:pPr>
        <w:pStyle w:val="Style3"/>
      </w:pPr>
      <w:bookmarkStart w:id="23" w:name="_Toc393724546"/>
      <w:bookmarkStart w:id="24" w:name="_Toc393875686"/>
      <w:r w:rsidRPr="00F2337D">
        <w:t>Conclusion</w:t>
      </w:r>
      <w:bookmarkEnd w:id="23"/>
      <w:bookmarkEnd w:id="24"/>
    </w:p>
    <w:p w:rsidR="00FB529E" w:rsidRPr="00F2337D" w:rsidRDefault="00FB529E" w:rsidP="00F2337D">
      <w:pPr>
        <w:rPr>
          <w:rFonts w:eastAsia="Times New Roman"/>
          <w:b/>
          <w:bCs/>
          <w:sz w:val="20"/>
          <w:szCs w:val="20"/>
        </w:rPr>
      </w:pPr>
    </w:p>
    <w:p w:rsidR="00FB529E" w:rsidRDefault="00FB529E" w:rsidP="002C004E">
      <w:pPr>
        <w:tabs>
          <w:tab w:val="left" w:pos="904"/>
        </w:tabs>
        <w:rPr>
          <w:sz w:val="20"/>
          <w:szCs w:val="20"/>
        </w:rPr>
      </w:pPr>
      <w:r>
        <w:rPr>
          <w:sz w:val="20"/>
          <w:szCs w:val="20"/>
        </w:rPr>
        <w:t>Repeated</w:t>
      </w:r>
      <w:r w:rsidRPr="00F12205">
        <w:rPr>
          <w:sz w:val="20"/>
          <w:szCs w:val="20"/>
        </w:rPr>
        <w:t xml:space="preserve"> reduction</w:t>
      </w:r>
      <w:r>
        <w:rPr>
          <w:sz w:val="20"/>
          <w:szCs w:val="20"/>
        </w:rPr>
        <w:t>s</w:t>
      </w:r>
      <w:r w:rsidRPr="00F12205">
        <w:rPr>
          <w:sz w:val="20"/>
          <w:szCs w:val="20"/>
        </w:rPr>
        <w:t xml:space="preserve"> in hospital</w:t>
      </w:r>
      <w:r>
        <w:rPr>
          <w:sz w:val="20"/>
          <w:szCs w:val="20"/>
        </w:rPr>
        <w:t xml:space="preserve"> and mental health budgets over the past five years have </w:t>
      </w:r>
      <w:r w:rsidRPr="00F12205">
        <w:rPr>
          <w:sz w:val="20"/>
          <w:szCs w:val="20"/>
        </w:rPr>
        <w:t>undermine</w:t>
      </w:r>
      <w:r>
        <w:rPr>
          <w:sz w:val="20"/>
          <w:szCs w:val="20"/>
        </w:rPr>
        <w:t>d the delivery</w:t>
      </w:r>
      <w:r w:rsidRPr="00F12205">
        <w:rPr>
          <w:sz w:val="20"/>
          <w:szCs w:val="20"/>
        </w:rPr>
        <w:t xml:space="preserve"> of frontline acute hos</w:t>
      </w:r>
      <w:r>
        <w:rPr>
          <w:sz w:val="20"/>
          <w:szCs w:val="20"/>
        </w:rPr>
        <w:t>pital and mental health services. There are a number of serious challenges impacting adversely on acute hospital and mental health services which are at a crisis point:-</w:t>
      </w:r>
    </w:p>
    <w:p w:rsidR="00FB529E" w:rsidRPr="00F12205" w:rsidRDefault="00FB529E" w:rsidP="002C004E">
      <w:pPr>
        <w:tabs>
          <w:tab w:val="left" w:pos="904"/>
        </w:tabs>
        <w:rPr>
          <w:sz w:val="20"/>
          <w:szCs w:val="20"/>
        </w:rPr>
      </w:pPr>
    </w:p>
    <w:p w:rsidR="00FB529E" w:rsidRPr="00F12205" w:rsidRDefault="00FB529E" w:rsidP="00FB529E">
      <w:pPr>
        <w:pStyle w:val="ListParagraph"/>
        <w:numPr>
          <w:ilvl w:val="0"/>
          <w:numId w:val="7"/>
        </w:numPr>
        <w:spacing w:after="200"/>
        <w:jc w:val="both"/>
        <w:rPr>
          <w:rFonts w:eastAsia="Times New Roman"/>
          <w:b/>
          <w:bCs/>
          <w:sz w:val="20"/>
          <w:szCs w:val="20"/>
          <w:lang w:val="en-GB"/>
        </w:rPr>
      </w:pPr>
      <w:r>
        <w:rPr>
          <w:rFonts w:eastAsia="Times New Roman"/>
          <w:b/>
          <w:bCs/>
          <w:sz w:val="20"/>
          <w:szCs w:val="20"/>
          <w:lang w:val="en-GB"/>
        </w:rPr>
        <w:t>There is insufficient funding to enable the delivery of safe, high quality acute hospital and mental health services taking account of</w:t>
      </w:r>
      <w:r w:rsidRPr="00F12205">
        <w:rPr>
          <w:rFonts w:eastAsia="Times New Roman"/>
          <w:b/>
          <w:bCs/>
          <w:sz w:val="20"/>
          <w:szCs w:val="20"/>
          <w:lang w:val="en-GB"/>
        </w:rPr>
        <w:t xml:space="preserve"> increased de</w:t>
      </w:r>
      <w:r>
        <w:rPr>
          <w:rFonts w:eastAsia="Times New Roman"/>
          <w:b/>
          <w:bCs/>
          <w:sz w:val="20"/>
          <w:szCs w:val="20"/>
          <w:lang w:val="en-GB"/>
        </w:rPr>
        <w:t>mand for care</w:t>
      </w:r>
      <w:r w:rsidRPr="00F12205">
        <w:rPr>
          <w:rFonts w:eastAsia="Times New Roman"/>
          <w:b/>
          <w:bCs/>
          <w:sz w:val="20"/>
          <w:szCs w:val="20"/>
          <w:lang w:val="en-GB"/>
        </w:rPr>
        <w:t>.</w:t>
      </w:r>
    </w:p>
    <w:p w:rsidR="00FB529E" w:rsidRDefault="00FB529E" w:rsidP="00FB529E">
      <w:pPr>
        <w:pStyle w:val="Heading3"/>
        <w:keepLines/>
        <w:numPr>
          <w:ilvl w:val="0"/>
          <w:numId w:val="7"/>
        </w:numPr>
        <w:spacing w:before="200" w:after="0"/>
        <w:jc w:val="left"/>
        <w:rPr>
          <w:rFonts w:ascii="Calibri" w:hAnsi="Calibri"/>
          <w:sz w:val="20"/>
          <w:szCs w:val="20"/>
          <w:lang w:val="en-GB"/>
        </w:rPr>
      </w:pPr>
      <w:bookmarkStart w:id="25" w:name="_Toc303853592"/>
      <w:bookmarkStart w:id="26" w:name="_Toc393468002"/>
      <w:bookmarkStart w:id="27" w:name="_Toc393718694"/>
      <w:bookmarkStart w:id="28" w:name="_Toc393724547"/>
      <w:bookmarkStart w:id="29" w:name="_Toc303853593"/>
      <w:bookmarkStart w:id="30" w:name="_Toc393468003"/>
      <w:bookmarkStart w:id="31" w:name="_Toc393718695"/>
      <w:bookmarkStart w:id="32" w:name="_Toc393724548"/>
      <w:r>
        <w:rPr>
          <w:rFonts w:ascii="Calibri" w:hAnsi="Calibri"/>
          <w:sz w:val="20"/>
          <w:szCs w:val="20"/>
          <w:lang w:val="en-GB"/>
        </w:rPr>
        <w:t>There is inadequate frontline resources which is preventing the optimum use of existing bed, theatre and other facilities</w:t>
      </w:r>
      <w:r w:rsidRPr="00F12205">
        <w:rPr>
          <w:rFonts w:ascii="Calibri" w:hAnsi="Calibri"/>
          <w:sz w:val="20"/>
          <w:szCs w:val="20"/>
          <w:lang w:val="en-GB"/>
        </w:rPr>
        <w:t>.</w:t>
      </w:r>
      <w:bookmarkEnd w:id="29"/>
      <w:bookmarkEnd w:id="30"/>
      <w:bookmarkEnd w:id="31"/>
      <w:bookmarkEnd w:id="32"/>
    </w:p>
    <w:p w:rsidR="00FB529E" w:rsidRPr="00BB219A" w:rsidRDefault="00FB529E" w:rsidP="00FB529E">
      <w:pPr>
        <w:pStyle w:val="Heading3"/>
        <w:keepLines/>
        <w:numPr>
          <w:ilvl w:val="0"/>
          <w:numId w:val="7"/>
        </w:numPr>
        <w:spacing w:before="200" w:after="0"/>
        <w:jc w:val="left"/>
        <w:rPr>
          <w:rFonts w:ascii="Calibri" w:hAnsi="Calibri"/>
          <w:sz w:val="20"/>
          <w:szCs w:val="20"/>
          <w:lang w:val="en-GB"/>
        </w:rPr>
      </w:pPr>
      <w:r>
        <w:rPr>
          <w:rFonts w:ascii="Calibri" w:hAnsi="Calibri"/>
          <w:sz w:val="20"/>
          <w:szCs w:val="20"/>
          <w:lang w:val="en-GB"/>
        </w:rPr>
        <w:t>The health services management and hospitals have failed to recruit and retain the required number of Hospital Consultants to provide care to patients without delays</w:t>
      </w:r>
      <w:r w:rsidRPr="00BB219A">
        <w:rPr>
          <w:rFonts w:ascii="Calibri" w:hAnsi="Calibri"/>
          <w:sz w:val="20"/>
          <w:szCs w:val="20"/>
          <w:lang w:val="en-GB"/>
        </w:rPr>
        <w:t>.</w:t>
      </w:r>
      <w:bookmarkEnd w:id="25"/>
      <w:bookmarkEnd w:id="26"/>
      <w:bookmarkEnd w:id="27"/>
      <w:bookmarkEnd w:id="28"/>
      <w:r w:rsidRPr="00BB219A">
        <w:rPr>
          <w:rFonts w:ascii="Calibri" w:hAnsi="Calibri"/>
          <w:sz w:val="20"/>
          <w:szCs w:val="20"/>
          <w:lang w:val="en-GB"/>
        </w:rPr>
        <w:t xml:space="preserve"> </w:t>
      </w:r>
    </w:p>
    <w:p w:rsidR="00FB529E" w:rsidRPr="00F2337D" w:rsidRDefault="00FB529E" w:rsidP="002C004E">
      <w:pPr>
        <w:rPr>
          <w:sz w:val="20"/>
          <w:szCs w:val="20"/>
        </w:rPr>
      </w:pPr>
    </w:p>
    <w:p w:rsidR="00FB529E" w:rsidRPr="002F77E0" w:rsidRDefault="00FB529E" w:rsidP="002F77E0">
      <w:pPr>
        <w:tabs>
          <w:tab w:val="left" w:pos="904"/>
        </w:tabs>
        <w:rPr>
          <w:sz w:val="20"/>
          <w:szCs w:val="20"/>
        </w:rPr>
      </w:pPr>
      <w:r>
        <w:rPr>
          <w:sz w:val="20"/>
          <w:szCs w:val="20"/>
        </w:rPr>
        <w:t>In conclusion, t</w:t>
      </w:r>
      <w:r w:rsidRPr="00F12205">
        <w:rPr>
          <w:sz w:val="20"/>
          <w:szCs w:val="20"/>
        </w:rPr>
        <w:t xml:space="preserve">he </w:t>
      </w:r>
      <w:r>
        <w:rPr>
          <w:sz w:val="20"/>
          <w:szCs w:val="20"/>
        </w:rPr>
        <w:t>Association is calling for increased funding for frontline healthcare services so that the challenges set out in this submission are addressed.</w:t>
      </w:r>
    </w:p>
    <w:p w:rsidR="00FB529E" w:rsidRDefault="00FB529E" w:rsidP="00C8779F">
      <w:pPr>
        <w:rPr>
          <w:b/>
          <w:sz w:val="24"/>
          <w:szCs w:val="24"/>
        </w:rPr>
      </w:pPr>
    </w:p>
    <w:p w:rsidR="00FB529E" w:rsidRPr="00662239" w:rsidRDefault="00FB529E" w:rsidP="00C8779F">
      <w:pPr>
        <w:rPr>
          <w:rFonts w:eastAsia="Times New Roman"/>
          <w:sz w:val="24"/>
          <w:szCs w:val="24"/>
          <w:lang w:val="en-GB" w:eastAsia="x-none"/>
        </w:rPr>
      </w:pPr>
      <w:r>
        <w:rPr>
          <w:b/>
          <w:sz w:val="24"/>
          <w:szCs w:val="24"/>
        </w:rPr>
        <w:t>24</w:t>
      </w:r>
      <w:r w:rsidRPr="00662239">
        <w:rPr>
          <w:b/>
          <w:sz w:val="24"/>
          <w:szCs w:val="24"/>
        </w:rPr>
        <w:t xml:space="preserve"> JULY 2014</w:t>
      </w:r>
    </w:p>
    <w:p w:rsidR="00007658" w:rsidRPr="00A10B6A" w:rsidRDefault="00007658" w:rsidP="00A10B6A">
      <w:bookmarkStart w:id="33" w:name="_GoBack"/>
      <w:bookmarkEnd w:id="33"/>
    </w:p>
    <w:sectPr w:rsidR="00007658" w:rsidRPr="00A10B6A" w:rsidSect="0082793C">
      <w:pgSz w:w="12240" w:h="15840"/>
      <w:pgMar w:top="720" w:right="851" w:bottom="72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29E" w:rsidRDefault="00FB529E" w:rsidP="00FB529E">
      <w:r>
        <w:separator/>
      </w:r>
    </w:p>
  </w:endnote>
  <w:endnote w:type="continuationSeparator" w:id="0">
    <w:p w:rsidR="00FB529E" w:rsidRDefault="00FB529E" w:rsidP="00FB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29E" w:rsidRDefault="00FB529E" w:rsidP="00FB529E">
      <w:r>
        <w:separator/>
      </w:r>
    </w:p>
  </w:footnote>
  <w:footnote w:type="continuationSeparator" w:id="0">
    <w:p w:rsidR="00FB529E" w:rsidRDefault="00FB529E" w:rsidP="00FB529E">
      <w:r>
        <w:continuationSeparator/>
      </w:r>
    </w:p>
  </w:footnote>
  <w:footnote w:id="1">
    <w:p w:rsidR="00FB529E" w:rsidRPr="00885208" w:rsidRDefault="00FB529E">
      <w:pPr>
        <w:pStyle w:val="FootnoteText"/>
        <w:rPr>
          <w:lang w:val="en-GB"/>
        </w:rPr>
      </w:pPr>
      <w:r>
        <w:rPr>
          <w:rStyle w:val="FootnoteReference"/>
        </w:rPr>
        <w:footnoteRef/>
      </w:r>
      <w:r>
        <w:t xml:space="preserve"> </w:t>
      </w:r>
      <w:r>
        <w:rPr>
          <w:lang w:val="en-GB"/>
        </w:rPr>
        <w:t>Excluding figures for palliative care.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97640"/>
    <w:multiLevelType w:val="hybridMultilevel"/>
    <w:tmpl w:val="6CD2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064C84"/>
    <w:multiLevelType w:val="hybridMultilevel"/>
    <w:tmpl w:val="9BD6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A15CF"/>
    <w:multiLevelType w:val="hybridMultilevel"/>
    <w:tmpl w:val="3BDE424A"/>
    <w:lvl w:ilvl="0" w:tplc="04090001">
      <w:start w:val="1"/>
      <w:numFmt w:val="bullet"/>
      <w:lvlText w:val=""/>
      <w:lvlJc w:val="left"/>
      <w:pPr>
        <w:ind w:left="1440" w:hanging="360"/>
      </w:pPr>
      <w:rPr>
        <w:rFonts w:ascii="Symbol" w:hAnsi="Symbol" w:hint="default"/>
      </w:rPr>
    </w:lvl>
    <w:lvl w:ilvl="1" w:tplc="5FA82790">
      <w:numFmt w:val="bullet"/>
      <w:lvlText w:val="-"/>
      <w:lvlJc w:val="left"/>
      <w:pPr>
        <w:ind w:left="2160" w:hanging="360"/>
      </w:pPr>
      <w:rPr>
        <w:rFonts w:ascii="Cambria" w:eastAsia="Calibri" w:hAnsi="Cambria" w:cs="Times New Roman"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nsid w:val="3937304A"/>
    <w:multiLevelType w:val="multilevel"/>
    <w:tmpl w:val="FE26BEB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4E4021E3"/>
    <w:multiLevelType w:val="hybridMultilevel"/>
    <w:tmpl w:val="891EA392"/>
    <w:lvl w:ilvl="0" w:tplc="04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nsid w:val="6288594D"/>
    <w:multiLevelType w:val="multilevel"/>
    <w:tmpl w:val="377865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6CB3707D"/>
    <w:multiLevelType w:val="multilevel"/>
    <w:tmpl w:val="530C824A"/>
    <w:lvl w:ilvl="0">
      <w:start w:val="1"/>
      <w:numFmt w:val="decimal"/>
      <w:pStyle w:val="Style3"/>
      <w:lvlText w:val="%1."/>
      <w:lvlJc w:val="left"/>
      <w:pPr>
        <w:ind w:left="-207" w:hanging="360"/>
      </w:pPr>
      <w:rPr>
        <w:rFonts w:hint="default"/>
      </w:rPr>
    </w:lvl>
    <w:lvl w:ilvl="1">
      <w:start w:val="4"/>
      <w:numFmt w:val="decimal"/>
      <w:isLgl/>
      <w:lvlText w:val="%1.%2"/>
      <w:lvlJc w:val="left"/>
      <w:pPr>
        <w:ind w:left="11" w:hanging="360"/>
      </w:pPr>
      <w:rPr>
        <w:rFonts w:hint="default"/>
      </w:rPr>
    </w:lvl>
    <w:lvl w:ilvl="2">
      <w:start w:val="1"/>
      <w:numFmt w:val="decimal"/>
      <w:isLgl/>
      <w:lvlText w:val="%1.%2.%3"/>
      <w:lvlJc w:val="left"/>
      <w:pPr>
        <w:ind w:left="589" w:hanging="720"/>
      </w:pPr>
      <w:rPr>
        <w:rFonts w:hint="default"/>
      </w:rPr>
    </w:lvl>
    <w:lvl w:ilvl="3">
      <w:start w:val="1"/>
      <w:numFmt w:val="decimal"/>
      <w:isLgl/>
      <w:lvlText w:val="%1.%2.%3.%4"/>
      <w:lvlJc w:val="left"/>
      <w:pPr>
        <w:ind w:left="807" w:hanging="720"/>
      </w:pPr>
      <w:rPr>
        <w:rFonts w:hint="default"/>
      </w:rPr>
    </w:lvl>
    <w:lvl w:ilvl="4">
      <w:start w:val="1"/>
      <w:numFmt w:val="decimal"/>
      <w:isLgl/>
      <w:lvlText w:val="%1.%2.%3.%4.%5"/>
      <w:lvlJc w:val="left"/>
      <w:pPr>
        <w:ind w:left="1385" w:hanging="1080"/>
      </w:pPr>
      <w:rPr>
        <w:rFonts w:hint="default"/>
      </w:rPr>
    </w:lvl>
    <w:lvl w:ilvl="5">
      <w:start w:val="1"/>
      <w:numFmt w:val="decimal"/>
      <w:isLgl/>
      <w:lvlText w:val="%1.%2.%3.%4.%5.%6"/>
      <w:lvlJc w:val="left"/>
      <w:pPr>
        <w:ind w:left="1603" w:hanging="1080"/>
      </w:pPr>
      <w:rPr>
        <w:rFonts w:hint="default"/>
      </w:rPr>
    </w:lvl>
    <w:lvl w:ilvl="6">
      <w:start w:val="1"/>
      <w:numFmt w:val="decimal"/>
      <w:isLgl/>
      <w:lvlText w:val="%1.%2.%3.%4.%5.%6.%7"/>
      <w:lvlJc w:val="left"/>
      <w:pPr>
        <w:ind w:left="2181"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977" w:hanging="1800"/>
      </w:pPr>
      <w:rPr>
        <w:rFonts w:hint="default"/>
      </w:rPr>
    </w:lvl>
  </w:abstractNum>
  <w:abstractNum w:abstractNumId="7">
    <w:nsid w:val="6DE122C7"/>
    <w:multiLevelType w:val="hybridMultilevel"/>
    <w:tmpl w:val="29C4B11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4C34AE"/>
    <w:multiLevelType w:val="hybridMultilevel"/>
    <w:tmpl w:val="46E4F1B4"/>
    <w:lvl w:ilvl="0" w:tplc="04090001">
      <w:start w:val="1"/>
      <w:numFmt w:val="bullet"/>
      <w:lvlText w:val=""/>
      <w:lvlJc w:val="left"/>
      <w:pPr>
        <w:ind w:left="720" w:hanging="360"/>
      </w:pPr>
      <w:rPr>
        <w:rFonts w:ascii="Symbol" w:hAnsi="Symbol" w:hint="default"/>
      </w:rPr>
    </w:lvl>
    <w:lvl w:ilvl="1" w:tplc="5FA82790">
      <w:numFmt w:val="bullet"/>
      <w:lvlText w:val="-"/>
      <w:lvlJc w:val="left"/>
      <w:pPr>
        <w:ind w:left="1440" w:hanging="360"/>
      </w:pPr>
      <w:rPr>
        <w:rFonts w:ascii="Cambria" w:eastAsia="Calibri" w:hAnsi="Cambria"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6"/>
  </w:num>
  <w:num w:numId="6">
    <w:abstractNumId w:val="4"/>
  </w:num>
  <w:num w:numId="7">
    <w:abstractNumId w:val="1"/>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1D89"/>
    <w:rsid w:val="000074C8"/>
    <w:rsid w:val="00007658"/>
    <w:rsid w:val="00080462"/>
    <w:rsid w:val="000E7163"/>
    <w:rsid w:val="00122942"/>
    <w:rsid w:val="0012649F"/>
    <w:rsid w:val="001265E8"/>
    <w:rsid w:val="00140070"/>
    <w:rsid w:val="00166182"/>
    <w:rsid w:val="002132E7"/>
    <w:rsid w:val="00214EA2"/>
    <w:rsid w:val="002835F6"/>
    <w:rsid w:val="002B4FF2"/>
    <w:rsid w:val="002C0136"/>
    <w:rsid w:val="002C014A"/>
    <w:rsid w:val="002D4D1F"/>
    <w:rsid w:val="002F4CBF"/>
    <w:rsid w:val="00325105"/>
    <w:rsid w:val="0036353D"/>
    <w:rsid w:val="00396307"/>
    <w:rsid w:val="003A599C"/>
    <w:rsid w:val="003A5CEC"/>
    <w:rsid w:val="00404DF3"/>
    <w:rsid w:val="00471260"/>
    <w:rsid w:val="004918FF"/>
    <w:rsid w:val="00493EC1"/>
    <w:rsid w:val="004F07C5"/>
    <w:rsid w:val="00530849"/>
    <w:rsid w:val="005A7E8C"/>
    <w:rsid w:val="005B284C"/>
    <w:rsid w:val="005B38F5"/>
    <w:rsid w:val="0066320B"/>
    <w:rsid w:val="006C7E8F"/>
    <w:rsid w:val="00711309"/>
    <w:rsid w:val="00721E3D"/>
    <w:rsid w:val="00782F3D"/>
    <w:rsid w:val="00793E4B"/>
    <w:rsid w:val="007D1730"/>
    <w:rsid w:val="0082793C"/>
    <w:rsid w:val="008633A3"/>
    <w:rsid w:val="00881B37"/>
    <w:rsid w:val="00885D8B"/>
    <w:rsid w:val="008C39B1"/>
    <w:rsid w:val="009A08CC"/>
    <w:rsid w:val="009D5A50"/>
    <w:rsid w:val="009E7976"/>
    <w:rsid w:val="00A070A0"/>
    <w:rsid w:val="00A10B6A"/>
    <w:rsid w:val="00A532AA"/>
    <w:rsid w:val="00A95BEC"/>
    <w:rsid w:val="00AB2824"/>
    <w:rsid w:val="00AC2FE6"/>
    <w:rsid w:val="00B27459"/>
    <w:rsid w:val="00B71650"/>
    <w:rsid w:val="00B95551"/>
    <w:rsid w:val="00C51711"/>
    <w:rsid w:val="00CE29BC"/>
    <w:rsid w:val="00CF1F2F"/>
    <w:rsid w:val="00D04A3E"/>
    <w:rsid w:val="00D57F7B"/>
    <w:rsid w:val="00DE13A3"/>
    <w:rsid w:val="00E00E41"/>
    <w:rsid w:val="00E17A56"/>
    <w:rsid w:val="00E30DAD"/>
    <w:rsid w:val="00E761F5"/>
    <w:rsid w:val="00EB0256"/>
    <w:rsid w:val="00EC774F"/>
    <w:rsid w:val="00ED072A"/>
    <w:rsid w:val="00EE7932"/>
    <w:rsid w:val="00EF1D89"/>
    <w:rsid w:val="00EF7B53"/>
    <w:rsid w:val="00F06810"/>
    <w:rsid w:val="00F659F9"/>
    <w:rsid w:val="00FB529E"/>
    <w:rsid w:val="00FE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49A112B8-239C-4379-88BB-186F756A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B6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FB529E"/>
    <w:pPr>
      <w:keepNext/>
      <w:keepLines/>
      <w:spacing w:before="480"/>
      <w:jc w:val="both"/>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unhideWhenUsed/>
    <w:qFormat/>
    <w:rsid w:val="00FB529E"/>
    <w:pPr>
      <w:keepNext/>
      <w:keepLines/>
      <w:spacing w:before="200"/>
      <w:jc w:val="both"/>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FB529E"/>
    <w:pPr>
      <w:keepNext/>
      <w:spacing w:before="240" w:after="60" w:line="276" w:lineRule="auto"/>
      <w:jc w:val="both"/>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4EA2"/>
    <w:rPr>
      <w:sz w:val="16"/>
      <w:szCs w:val="16"/>
    </w:rPr>
  </w:style>
  <w:style w:type="paragraph" w:styleId="CommentText">
    <w:name w:val="annotation text"/>
    <w:basedOn w:val="Normal"/>
    <w:link w:val="CommentTextChar"/>
    <w:uiPriority w:val="99"/>
    <w:semiHidden/>
    <w:unhideWhenUsed/>
    <w:rsid w:val="00214EA2"/>
    <w:rPr>
      <w:sz w:val="20"/>
      <w:szCs w:val="20"/>
    </w:rPr>
  </w:style>
  <w:style w:type="character" w:customStyle="1" w:styleId="CommentTextChar">
    <w:name w:val="Comment Text Char"/>
    <w:basedOn w:val="DefaultParagraphFont"/>
    <w:link w:val="CommentText"/>
    <w:uiPriority w:val="99"/>
    <w:semiHidden/>
    <w:rsid w:val="00214EA2"/>
    <w:rPr>
      <w:sz w:val="20"/>
      <w:szCs w:val="20"/>
      <w:lang w:val="en-IE"/>
    </w:rPr>
  </w:style>
  <w:style w:type="paragraph" w:styleId="CommentSubject">
    <w:name w:val="annotation subject"/>
    <w:basedOn w:val="CommentText"/>
    <w:next w:val="CommentText"/>
    <w:link w:val="CommentSubjectChar"/>
    <w:uiPriority w:val="99"/>
    <w:semiHidden/>
    <w:unhideWhenUsed/>
    <w:rsid w:val="00214EA2"/>
    <w:rPr>
      <w:b/>
      <w:bCs/>
    </w:rPr>
  </w:style>
  <w:style w:type="character" w:customStyle="1" w:styleId="CommentSubjectChar">
    <w:name w:val="Comment Subject Char"/>
    <w:basedOn w:val="CommentTextChar"/>
    <w:link w:val="CommentSubject"/>
    <w:uiPriority w:val="99"/>
    <w:semiHidden/>
    <w:rsid w:val="00214EA2"/>
    <w:rPr>
      <w:b/>
      <w:bCs/>
      <w:sz w:val="20"/>
      <w:szCs w:val="20"/>
      <w:lang w:val="en-IE"/>
    </w:rPr>
  </w:style>
  <w:style w:type="paragraph" w:styleId="BalloonText">
    <w:name w:val="Balloon Text"/>
    <w:basedOn w:val="Normal"/>
    <w:link w:val="BalloonTextChar"/>
    <w:uiPriority w:val="99"/>
    <w:semiHidden/>
    <w:unhideWhenUsed/>
    <w:rsid w:val="00214EA2"/>
    <w:rPr>
      <w:rFonts w:ascii="Tahoma" w:hAnsi="Tahoma" w:cs="Tahoma"/>
      <w:sz w:val="16"/>
      <w:szCs w:val="16"/>
    </w:rPr>
  </w:style>
  <w:style w:type="character" w:customStyle="1" w:styleId="BalloonTextChar">
    <w:name w:val="Balloon Text Char"/>
    <w:basedOn w:val="DefaultParagraphFont"/>
    <w:link w:val="BalloonText"/>
    <w:uiPriority w:val="99"/>
    <w:semiHidden/>
    <w:rsid w:val="00214EA2"/>
    <w:rPr>
      <w:rFonts w:ascii="Tahoma" w:hAnsi="Tahoma" w:cs="Tahoma"/>
      <w:sz w:val="16"/>
      <w:szCs w:val="16"/>
      <w:lang w:val="en-IE"/>
    </w:rPr>
  </w:style>
  <w:style w:type="paragraph" w:styleId="ListParagraph">
    <w:name w:val="List Paragraph"/>
    <w:basedOn w:val="Normal"/>
    <w:uiPriority w:val="34"/>
    <w:qFormat/>
    <w:rsid w:val="003A599C"/>
    <w:pPr>
      <w:ind w:left="720"/>
      <w:contextualSpacing/>
    </w:pPr>
  </w:style>
  <w:style w:type="paragraph" w:styleId="NoSpacing">
    <w:name w:val="No Spacing"/>
    <w:uiPriority w:val="1"/>
    <w:qFormat/>
    <w:rsid w:val="00A95BEC"/>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A95BEC"/>
    <w:rPr>
      <w:color w:val="0000FF"/>
      <w:u w:val="single"/>
    </w:rPr>
  </w:style>
  <w:style w:type="character" w:customStyle="1" w:styleId="Heading1Char">
    <w:name w:val="Heading 1 Char"/>
    <w:basedOn w:val="DefaultParagraphFont"/>
    <w:link w:val="Heading1"/>
    <w:uiPriority w:val="9"/>
    <w:rsid w:val="00FB529E"/>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FB529E"/>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FB529E"/>
    <w:rPr>
      <w:rFonts w:ascii="Cambria" w:eastAsia="Times New Roman" w:hAnsi="Cambria" w:cs="Times New Roman"/>
      <w:b/>
      <w:bCs/>
      <w:sz w:val="26"/>
      <w:szCs w:val="26"/>
      <w:lang w:val="x-none" w:eastAsia="x-none"/>
    </w:rPr>
  </w:style>
  <w:style w:type="paragraph" w:styleId="TOC1">
    <w:name w:val="toc 1"/>
    <w:basedOn w:val="Normal"/>
    <w:next w:val="Normal"/>
    <w:autoRedefine/>
    <w:uiPriority w:val="39"/>
    <w:unhideWhenUsed/>
    <w:qFormat/>
    <w:rsid w:val="00FB529E"/>
    <w:pPr>
      <w:spacing w:after="100"/>
      <w:jc w:val="both"/>
    </w:pPr>
    <w:rPr>
      <w:rFonts w:eastAsia="Times New Roman"/>
    </w:rPr>
  </w:style>
  <w:style w:type="paragraph" w:styleId="TOC2">
    <w:name w:val="toc 2"/>
    <w:basedOn w:val="Normal"/>
    <w:next w:val="Normal"/>
    <w:autoRedefine/>
    <w:uiPriority w:val="39"/>
    <w:unhideWhenUsed/>
    <w:qFormat/>
    <w:rsid w:val="00FB529E"/>
    <w:pPr>
      <w:spacing w:after="100"/>
      <w:ind w:left="220"/>
      <w:jc w:val="both"/>
    </w:pPr>
    <w:rPr>
      <w:rFonts w:eastAsia="Calibri"/>
    </w:rPr>
  </w:style>
  <w:style w:type="paragraph" w:styleId="TOC3">
    <w:name w:val="toc 3"/>
    <w:basedOn w:val="Normal"/>
    <w:next w:val="Normal"/>
    <w:autoRedefine/>
    <w:uiPriority w:val="39"/>
    <w:unhideWhenUsed/>
    <w:qFormat/>
    <w:rsid w:val="00FB529E"/>
    <w:pPr>
      <w:spacing w:after="100"/>
      <w:ind w:left="440"/>
      <w:jc w:val="both"/>
    </w:pPr>
    <w:rPr>
      <w:rFonts w:eastAsia="Times New Roman"/>
    </w:rPr>
  </w:style>
  <w:style w:type="paragraph" w:styleId="Caption">
    <w:name w:val="caption"/>
    <w:basedOn w:val="Normal"/>
    <w:next w:val="Normal"/>
    <w:uiPriority w:val="35"/>
    <w:unhideWhenUsed/>
    <w:qFormat/>
    <w:rsid w:val="00FB529E"/>
    <w:pPr>
      <w:spacing w:after="200"/>
      <w:jc w:val="both"/>
    </w:pPr>
    <w:rPr>
      <w:rFonts w:eastAsia="Calibri"/>
      <w:b/>
      <w:bCs/>
      <w:color w:val="4F81BD"/>
      <w:sz w:val="18"/>
      <w:szCs w:val="18"/>
    </w:rPr>
  </w:style>
  <w:style w:type="paragraph" w:styleId="Title">
    <w:name w:val="Title"/>
    <w:basedOn w:val="Normal"/>
    <w:next w:val="Normal"/>
    <w:link w:val="TitleChar"/>
    <w:uiPriority w:val="10"/>
    <w:qFormat/>
    <w:rsid w:val="00FB529E"/>
    <w:pPr>
      <w:pBdr>
        <w:bottom w:val="single" w:sz="8" w:space="4" w:color="4F81BD"/>
      </w:pBdr>
      <w:spacing w:after="300"/>
      <w:contextualSpacing/>
      <w:jc w:val="both"/>
    </w:pPr>
    <w:rPr>
      <w:rFonts w:ascii="Cambria" w:eastAsia="Times New Roman" w:hAnsi="Cambria"/>
      <w:color w:val="17365D"/>
      <w:spacing w:val="5"/>
      <w:kern w:val="28"/>
      <w:sz w:val="52"/>
      <w:szCs w:val="52"/>
      <w:lang w:val="x-none" w:eastAsia="x-none"/>
    </w:rPr>
  </w:style>
  <w:style w:type="character" w:customStyle="1" w:styleId="TitleChar">
    <w:name w:val="Title Char"/>
    <w:basedOn w:val="DefaultParagraphFont"/>
    <w:link w:val="Title"/>
    <w:uiPriority w:val="10"/>
    <w:rsid w:val="00FB529E"/>
    <w:rPr>
      <w:rFonts w:ascii="Cambria" w:eastAsia="Times New Roman" w:hAnsi="Cambria" w:cs="Times New Roman"/>
      <w:color w:val="17365D"/>
      <w:spacing w:val="5"/>
      <w:kern w:val="28"/>
      <w:sz w:val="52"/>
      <w:szCs w:val="52"/>
      <w:lang w:val="x-none" w:eastAsia="x-none"/>
    </w:rPr>
  </w:style>
  <w:style w:type="character" w:styleId="Strong">
    <w:name w:val="Strong"/>
    <w:uiPriority w:val="22"/>
    <w:qFormat/>
    <w:rsid w:val="00FB529E"/>
    <w:rPr>
      <w:rFonts w:ascii="Calibri" w:eastAsia="Times New Roman" w:hAnsi="Calibri" w:cs="Times New Roman"/>
      <w:b/>
      <w:bCs/>
      <w:color w:val="1F497D"/>
      <w:position w:val="6"/>
      <w:sz w:val="24"/>
      <w:szCs w:val="26"/>
    </w:rPr>
  </w:style>
  <w:style w:type="paragraph" w:styleId="TOCHeading">
    <w:name w:val="TOC Heading"/>
    <w:basedOn w:val="Heading1"/>
    <w:next w:val="Normal"/>
    <w:uiPriority w:val="39"/>
    <w:semiHidden/>
    <w:unhideWhenUsed/>
    <w:qFormat/>
    <w:rsid w:val="00FB529E"/>
    <w:pPr>
      <w:outlineLvl w:val="9"/>
    </w:pPr>
  </w:style>
  <w:style w:type="paragraph" w:customStyle="1" w:styleId="Style1">
    <w:name w:val="Style1"/>
    <w:basedOn w:val="Heading2"/>
    <w:link w:val="Style1Char"/>
    <w:qFormat/>
    <w:rsid w:val="00FB529E"/>
    <w:pPr>
      <w:tabs>
        <w:tab w:val="num" w:pos="360"/>
      </w:tabs>
    </w:pPr>
  </w:style>
  <w:style w:type="table" w:styleId="TableGrid">
    <w:name w:val="Table Grid"/>
    <w:basedOn w:val="TableNormal"/>
    <w:uiPriority w:val="59"/>
    <w:rsid w:val="00FB529E"/>
    <w:pPr>
      <w:spacing w:after="0" w:line="240" w:lineRule="auto"/>
    </w:pPr>
    <w:rPr>
      <w:rFonts w:ascii="Calibri" w:eastAsia="Calibri" w:hAnsi="Calibri" w:cs="Times New Roman"/>
      <w:sz w:val="20"/>
      <w:szCs w:val="20"/>
      <w:lang w:val="en-IE"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B529E"/>
    <w:pPr>
      <w:jc w:val="both"/>
    </w:pPr>
    <w:rPr>
      <w:rFonts w:eastAsia="Calibri"/>
      <w:sz w:val="20"/>
      <w:szCs w:val="20"/>
    </w:rPr>
  </w:style>
  <w:style w:type="character" w:customStyle="1" w:styleId="FootnoteTextChar">
    <w:name w:val="Footnote Text Char"/>
    <w:basedOn w:val="DefaultParagraphFont"/>
    <w:link w:val="FootnoteText"/>
    <w:uiPriority w:val="99"/>
    <w:semiHidden/>
    <w:rsid w:val="00FB529E"/>
    <w:rPr>
      <w:rFonts w:ascii="Calibri" w:eastAsia="Calibri" w:hAnsi="Calibri" w:cs="Times New Roman"/>
      <w:sz w:val="20"/>
      <w:szCs w:val="20"/>
    </w:rPr>
  </w:style>
  <w:style w:type="character" w:styleId="FootnoteReference">
    <w:name w:val="footnote reference"/>
    <w:uiPriority w:val="99"/>
    <w:semiHidden/>
    <w:unhideWhenUsed/>
    <w:rsid w:val="00FB529E"/>
    <w:rPr>
      <w:vertAlign w:val="superscript"/>
    </w:rPr>
  </w:style>
  <w:style w:type="paragraph" w:styleId="Header">
    <w:name w:val="header"/>
    <w:basedOn w:val="Normal"/>
    <w:link w:val="HeaderChar"/>
    <w:uiPriority w:val="99"/>
    <w:unhideWhenUsed/>
    <w:rsid w:val="00FB529E"/>
    <w:pPr>
      <w:tabs>
        <w:tab w:val="center" w:pos="4680"/>
        <w:tab w:val="right" w:pos="9360"/>
      </w:tabs>
      <w:jc w:val="both"/>
    </w:pPr>
    <w:rPr>
      <w:rFonts w:eastAsia="Calibri"/>
      <w:lang w:val="x-none" w:eastAsia="x-none"/>
    </w:rPr>
  </w:style>
  <w:style w:type="character" w:customStyle="1" w:styleId="HeaderChar">
    <w:name w:val="Header Char"/>
    <w:basedOn w:val="DefaultParagraphFont"/>
    <w:link w:val="Header"/>
    <w:uiPriority w:val="99"/>
    <w:rsid w:val="00FB529E"/>
    <w:rPr>
      <w:rFonts w:ascii="Calibri" w:eastAsia="Calibri" w:hAnsi="Calibri" w:cs="Times New Roman"/>
      <w:lang w:val="x-none" w:eastAsia="x-none"/>
    </w:rPr>
  </w:style>
  <w:style w:type="paragraph" w:styleId="Footer">
    <w:name w:val="footer"/>
    <w:basedOn w:val="Normal"/>
    <w:link w:val="FooterChar"/>
    <w:uiPriority w:val="99"/>
    <w:unhideWhenUsed/>
    <w:rsid w:val="00FB529E"/>
    <w:pPr>
      <w:tabs>
        <w:tab w:val="center" w:pos="4680"/>
        <w:tab w:val="right" w:pos="9360"/>
      </w:tabs>
      <w:jc w:val="both"/>
    </w:pPr>
    <w:rPr>
      <w:rFonts w:eastAsia="Calibri"/>
      <w:lang w:val="x-none" w:eastAsia="x-none"/>
    </w:rPr>
  </w:style>
  <w:style w:type="character" w:customStyle="1" w:styleId="FooterChar">
    <w:name w:val="Footer Char"/>
    <w:basedOn w:val="DefaultParagraphFont"/>
    <w:link w:val="Footer"/>
    <w:uiPriority w:val="99"/>
    <w:rsid w:val="00FB529E"/>
    <w:rPr>
      <w:rFonts w:ascii="Calibri" w:eastAsia="Calibri" w:hAnsi="Calibri" w:cs="Times New Roman"/>
      <w:lang w:val="x-none" w:eastAsia="x-none"/>
    </w:rPr>
  </w:style>
  <w:style w:type="paragraph" w:customStyle="1" w:styleId="Style2">
    <w:name w:val="Style2"/>
    <w:basedOn w:val="Heading2"/>
    <w:link w:val="Style2Char"/>
    <w:qFormat/>
    <w:rsid w:val="00FB529E"/>
    <w:pPr>
      <w:spacing w:before="0"/>
      <w:ind w:left="-426"/>
    </w:pPr>
    <w:rPr>
      <w:rFonts w:ascii="Calibri" w:hAnsi="Calibri"/>
      <w:color w:val="auto"/>
      <w:sz w:val="28"/>
      <w:szCs w:val="28"/>
      <w:lang w:val="en-GB"/>
    </w:rPr>
  </w:style>
  <w:style w:type="paragraph" w:customStyle="1" w:styleId="Style3">
    <w:name w:val="Style3"/>
    <w:basedOn w:val="Style1"/>
    <w:link w:val="Style3Char"/>
    <w:qFormat/>
    <w:rsid w:val="00FB529E"/>
    <w:pPr>
      <w:numPr>
        <w:numId w:val="5"/>
      </w:numPr>
      <w:spacing w:before="0"/>
      <w:ind w:left="0"/>
      <w:jc w:val="left"/>
    </w:pPr>
    <w:rPr>
      <w:rFonts w:ascii="Calibri" w:hAnsi="Calibri"/>
      <w:color w:val="auto"/>
      <w:sz w:val="28"/>
      <w:szCs w:val="28"/>
      <w:lang w:val="en-GB"/>
    </w:rPr>
  </w:style>
  <w:style w:type="character" w:customStyle="1" w:styleId="Style2Char">
    <w:name w:val="Style2 Char"/>
    <w:link w:val="Style2"/>
    <w:rsid w:val="00FB529E"/>
    <w:rPr>
      <w:rFonts w:ascii="Calibri" w:eastAsia="Times New Roman" w:hAnsi="Calibri" w:cs="Times New Roman"/>
      <w:b/>
      <w:bCs/>
      <w:sz w:val="28"/>
      <w:szCs w:val="28"/>
      <w:lang w:val="en-GB" w:eastAsia="x-none"/>
    </w:rPr>
  </w:style>
  <w:style w:type="character" w:customStyle="1" w:styleId="Style1Char">
    <w:name w:val="Style1 Char"/>
    <w:link w:val="Style1"/>
    <w:rsid w:val="00FB529E"/>
    <w:rPr>
      <w:rFonts w:ascii="Cambria" w:eastAsia="Times New Roman" w:hAnsi="Cambria" w:cs="Times New Roman"/>
      <w:b/>
      <w:bCs/>
      <w:color w:val="4F81BD"/>
      <w:sz w:val="26"/>
      <w:szCs w:val="26"/>
      <w:lang w:val="x-none" w:eastAsia="x-none"/>
    </w:rPr>
  </w:style>
  <w:style w:type="character" w:customStyle="1" w:styleId="Style3Char">
    <w:name w:val="Style3 Char"/>
    <w:link w:val="Style3"/>
    <w:rsid w:val="00FB529E"/>
    <w:rPr>
      <w:rFonts w:ascii="Calibri" w:eastAsia="Times New Roman" w:hAnsi="Calibri" w:cs="Times New Roman"/>
      <w:b/>
      <w:bCs/>
      <w:sz w:val="28"/>
      <w:szCs w:val="2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25280">
      <w:bodyDiv w:val="1"/>
      <w:marLeft w:val="0"/>
      <w:marRight w:val="0"/>
      <w:marTop w:val="0"/>
      <w:marBottom w:val="0"/>
      <w:divBdr>
        <w:top w:val="none" w:sz="0" w:space="0" w:color="auto"/>
        <w:left w:val="none" w:sz="0" w:space="0" w:color="auto"/>
        <w:bottom w:val="none" w:sz="0" w:space="0" w:color="auto"/>
        <w:right w:val="none" w:sz="0" w:space="0" w:color="auto"/>
      </w:divBdr>
      <w:divsChild>
        <w:div w:id="691690316">
          <w:marLeft w:val="0"/>
          <w:marRight w:val="0"/>
          <w:marTop w:val="240"/>
          <w:marBottom w:val="0"/>
          <w:divBdr>
            <w:top w:val="dashed" w:sz="2" w:space="0" w:color="008000"/>
            <w:left w:val="dashed" w:sz="2" w:space="0" w:color="008000"/>
            <w:bottom w:val="dashed" w:sz="2" w:space="0" w:color="008000"/>
            <w:right w:val="dashed" w:sz="2" w:space="0" w:color="008000"/>
          </w:divBdr>
          <w:divsChild>
            <w:div w:id="442966820">
              <w:marLeft w:val="0"/>
              <w:marRight w:val="0"/>
              <w:marTop w:val="0"/>
              <w:marBottom w:val="0"/>
              <w:divBdr>
                <w:top w:val="none" w:sz="0" w:space="0" w:color="auto"/>
                <w:left w:val="none" w:sz="0" w:space="0" w:color="auto"/>
                <w:bottom w:val="none" w:sz="0" w:space="0" w:color="auto"/>
                <w:right w:val="none" w:sz="0" w:space="0" w:color="auto"/>
              </w:divBdr>
              <w:divsChild>
                <w:div w:id="2088763910">
                  <w:marLeft w:val="2700"/>
                  <w:marRight w:val="3150"/>
                  <w:marTop w:val="0"/>
                  <w:marBottom w:val="0"/>
                  <w:divBdr>
                    <w:top w:val="single" w:sz="2" w:space="0" w:color="FFC0CB"/>
                    <w:left w:val="single" w:sz="2" w:space="0" w:color="FFC0CB"/>
                    <w:bottom w:val="single" w:sz="2" w:space="0" w:color="FFC0CB"/>
                    <w:right w:val="single" w:sz="2" w:space="0" w:color="FFC0CB"/>
                  </w:divBdr>
                  <w:divsChild>
                    <w:div w:id="1184906327">
                      <w:marLeft w:val="-90"/>
                      <w:marRight w:val="0"/>
                      <w:marTop w:val="0"/>
                      <w:marBottom w:val="0"/>
                      <w:divBdr>
                        <w:top w:val="single" w:sz="2" w:space="0" w:color="0000FF"/>
                        <w:left w:val="single" w:sz="2" w:space="0" w:color="0000FF"/>
                        <w:bottom w:val="single" w:sz="2" w:space="0" w:color="0000FF"/>
                        <w:right w:val="single" w:sz="2" w:space="0" w:color="0000FF"/>
                      </w:divBdr>
                      <w:divsChild>
                        <w:div w:id="1085538623">
                          <w:marLeft w:val="-2700"/>
                          <w:marRight w:val="0"/>
                          <w:marTop w:val="0"/>
                          <w:marBottom w:val="0"/>
                          <w:divBdr>
                            <w:top w:val="dashed" w:sz="2" w:space="0" w:color="008000"/>
                            <w:left w:val="dashed" w:sz="2" w:space="0" w:color="008000"/>
                            <w:bottom w:val="dashed" w:sz="2" w:space="0" w:color="008000"/>
                            <w:right w:val="dashed" w:sz="2" w:space="0" w:color="008000"/>
                          </w:divBdr>
                          <w:divsChild>
                            <w:div w:id="1634171377">
                              <w:marLeft w:val="0"/>
                              <w:marRight w:val="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sChild>
    </w:div>
    <w:div w:id="11310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McGrath@fleishmaneurope.com" TargetMode="External"/><Relationship Id="rId13" Type="http://schemas.openxmlformats.org/officeDocument/2006/relationships/package" Target="embeddings/Microsoft_Excel_Worksheet1.xlsx"/><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ulian.Davis@fleishmaneurope.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01F86A-B1D8-4B71-B7ED-53C4C6CA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5081</Words>
  <Characters>28964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Fleishman-Hillard</Company>
  <LinksUpToDate>false</LinksUpToDate>
  <CharactersWithSpaces>33978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Dunny</dc:creator>
  <cp:lastModifiedBy>Claire Boylan</cp:lastModifiedBy>
  <cp:revision>8</cp:revision>
  <cp:lastPrinted>2014-07-23T16:50:00Z</cp:lastPrinted>
  <dcterms:created xsi:type="dcterms:W3CDTF">2014-07-24T09:39:00Z</dcterms:created>
  <dcterms:modified xsi:type="dcterms:W3CDTF">2014-09-12T14:13:00Z</dcterms:modified>
</cp:coreProperties>
</file>